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77D45" w14:textId="77777777" w:rsidR="00297170" w:rsidRDefault="001310C0" w:rsidP="004530BD">
      <w:pPr>
        <w:spacing w:line="360" w:lineRule="auto"/>
        <w:jc w:val="both"/>
        <w:rPr>
          <w:rFonts w:ascii="Times New Roman" w:hAnsi="Times New Roman" w:cs="Times New Roman"/>
          <w:b/>
          <w:bCs/>
        </w:rPr>
      </w:pPr>
      <w:r w:rsidRPr="00EB11D5">
        <w:rPr>
          <w:rFonts w:ascii="Times New Roman" w:hAnsi="Times New Roman" w:cs="Times New Roman"/>
          <w:b/>
          <w:bCs/>
        </w:rPr>
        <w:t xml:space="preserve">The manuscript egusphere-2025-2584 titled “Soil carbon accrual and </w:t>
      </w:r>
      <w:proofErr w:type="spellStart"/>
      <w:r w:rsidRPr="00EB11D5">
        <w:rPr>
          <w:rFonts w:ascii="Times New Roman" w:hAnsi="Times New Roman" w:cs="Times New Roman"/>
          <w:b/>
          <w:bCs/>
        </w:rPr>
        <w:t>biopore</w:t>
      </w:r>
      <w:proofErr w:type="spellEnd"/>
      <w:r w:rsidRPr="00EB11D5">
        <w:rPr>
          <w:rFonts w:ascii="Times New Roman" w:hAnsi="Times New Roman" w:cs="Times New Roman"/>
          <w:b/>
          <w:bCs/>
        </w:rPr>
        <w:t xml:space="preserve"> formation across a plant diversity gradient” utilized a plant diversity gradient experiment (1-30 species) and employed X-ray computed micro-tomography scanning to quantitatively analyze soil pore structures (particularly </w:t>
      </w:r>
      <w:proofErr w:type="spellStart"/>
      <w:r w:rsidRPr="00EB11D5">
        <w:rPr>
          <w:rFonts w:ascii="Times New Roman" w:hAnsi="Times New Roman" w:cs="Times New Roman"/>
          <w:b/>
          <w:bCs/>
        </w:rPr>
        <w:t>biopores</w:t>
      </w:r>
      <w:proofErr w:type="spellEnd"/>
      <w:r w:rsidRPr="00EB11D5">
        <w:rPr>
          <w:rFonts w:ascii="Times New Roman" w:hAnsi="Times New Roman" w:cs="Times New Roman"/>
          <w:b/>
          <w:bCs/>
        </w:rPr>
        <w:t xml:space="preserve">) under different plant </w:t>
      </w:r>
      <w:proofErr w:type="gramStart"/>
      <w:r w:rsidRPr="00EB11D5">
        <w:rPr>
          <w:rFonts w:ascii="Times New Roman" w:hAnsi="Times New Roman" w:cs="Times New Roman"/>
          <w:b/>
          <w:bCs/>
        </w:rPr>
        <w:t>systems, and</w:t>
      </w:r>
      <w:proofErr w:type="gramEnd"/>
      <w:r w:rsidRPr="00EB11D5">
        <w:rPr>
          <w:rFonts w:ascii="Times New Roman" w:hAnsi="Times New Roman" w:cs="Times New Roman"/>
          <w:b/>
          <w:bCs/>
        </w:rPr>
        <w:t xml:space="preserve"> examined their relationship with soil organic carbon (SOC) accumulation. </w:t>
      </w:r>
    </w:p>
    <w:p w14:paraId="6ED7DDE9" w14:textId="08BC8920" w:rsidR="002B6B07" w:rsidRPr="00DE1311" w:rsidRDefault="002B6B07" w:rsidP="004530BD">
      <w:pPr>
        <w:pStyle w:val="a6"/>
        <w:numPr>
          <w:ilvl w:val="0"/>
          <w:numId w:val="14"/>
        </w:numPr>
        <w:spacing w:line="360" w:lineRule="auto"/>
        <w:jc w:val="both"/>
        <w:rPr>
          <w:rFonts w:ascii="Times New Roman" w:hAnsi="Times New Roman" w:cs="Times New Roman"/>
        </w:rPr>
      </w:pPr>
      <w:r w:rsidRPr="00715A5B">
        <w:rPr>
          <w:rFonts w:ascii="Times New Roman" w:hAnsi="Times New Roman" w:cs="Times New Roman"/>
        </w:rPr>
        <w:t xml:space="preserve">We </w:t>
      </w:r>
      <w:r w:rsidRPr="00DE1311">
        <w:rPr>
          <w:rFonts w:ascii="Times New Roman" w:hAnsi="Times New Roman" w:cs="Times New Roman"/>
        </w:rPr>
        <w:t>appreciate the reviewer’s thoughtful assessment and the opportunity to clarify our study’s scope and interpretation.</w:t>
      </w:r>
    </w:p>
    <w:p w14:paraId="0ADD451D" w14:textId="77777777" w:rsidR="002B6B07" w:rsidRPr="001040CE" w:rsidRDefault="001310C0" w:rsidP="004530BD">
      <w:pPr>
        <w:spacing w:line="360" w:lineRule="auto"/>
        <w:jc w:val="both"/>
        <w:rPr>
          <w:rFonts w:ascii="Times New Roman" w:hAnsi="Times New Roman" w:cs="Times New Roman"/>
          <w:b/>
          <w:bCs/>
        </w:rPr>
      </w:pPr>
      <w:r w:rsidRPr="00DE1311">
        <w:rPr>
          <w:rFonts w:ascii="Times New Roman" w:hAnsi="Times New Roman" w:cs="Times New Roman"/>
          <w:b/>
          <w:bCs/>
        </w:rPr>
        <w:t xml:space="preserve">The study suggests that plant diversity can enhance SOC content through </w:t>
      </w:r>
      <w:proofErr w:type="spellStart"/>
      <w:r w:rsidRPr="00DE1311">
        <w:rPr>
          <w:rFonts w:ascii="Times New Roman" w:hAnsi="Times New Roman" w:cs="Times New Roman"/>
          <w:b/>
          <w:bCs/>
        </w:rPr>
        <w:t>biopore</w:t>
      </w:r>
      <w:proofErr w:type="spellEnd"/>
      <w:r w:rsidRPr="00DE1311">
        <w:rPr>
          <w:rFonts w:ascii="Times New Roman" w:hAnsi="Times New Roman" w:cs="Times New Roman"/>
          <w:b/>
          <w:bCs/>
        </w:rPr>
        <w:t>-mediated mechanisms</w:t>
      </w:r>
      <w:r w:rsidRPr="001040CE">
        <w:rPr>
          <w:rFonts w:ascii="Times New Roman" w:hAnsi="Times New Roman" w:cs="Times New Roman"/>
          <w:b/>
          <w:bCs/>
        </w:rPr>
        <w:t xml:space="preserve">. However, the conclusions lack generalizability due to the limited SOC data from only one year of measurement. </w:t>
      </w:r>
    </w:p>
    <w:p w14:paraId="57E3800D" w14:textId="65FBA2C0" w:rsidR="002B6B07" w:rsidRPr="001040CE" w:rsidRDefault="002B6B07" w:rsidP="004530BD">
      <w:pPr>
        <w:pStyle w:val="a6"/>
        <w:numPr>
          <w:ilvl w:val="0"/>
          <w:numId w:val="14"/>
        </w:numPr>
        <w:spacing w:line="360" w:lineRule="auto"/>
        <w:jc w:val="both"/>
        <w:rPr>
          <w:rFonts w:ascii="Times New Roman" w:hAnsi="Times New Roman" w:cs="Times New Roman"/>
        </w:rPr>
      </w:pPr>
      <w:r w:rsidRPr="00DE1311">
        <w:rPr>
          <w:rFonts w:ascii="Times New Roman" w:hAnsi="Times New Roman" w:cs="Times New Roman"/>
        </w:rPr>
        <w:t xml:space="preserve">Our SOC sampling was conducted in 2019, but it was intended to capture the cumulative outcome of 12 years of experimentally </w:t>
      </w:r>
      <w:r w:rsidRPr="00B33B7D">
        <w:rPr>
          <w:rFonts w:ascii="Times New Roman" w:hAnsi="Times New Roman" w:cs="Times New Roman"/>
        </w:rPr>
        <w:t xml:space="preserve">maintained plant-diversity treatments (established in 2010). Thus, the SOC values </w:t>
      </w:r>
      <w:r w:rsidRPr="001040CE">
        <w:rPr>
          <w:rFonts w:ascii="Times New Roman" w:hAnsi="Times New Roman" w:cs="Times New Roman"/>
        </w:rPr>
        <w:t xml:space="preserve">reflect long-term biodiversity effects rather than a single-year snapshot. </w:t>
      </w:r>
    </w:p>
    <w:p w14:paraId="2BB5AAD2" w14:textId="65B124F4" w:rsidR="002B6B07" w:rsidRDefault="001310C0" w:rsidP="004530BD">
      <w:pPr>
        <w:spacing w:line="360" w:lineRule="auto"/>
        <w:jc w:val="both"/>
        <w:rPr>
          <w:rFonts w:ascii="Times New Roman" w:hAnsi="Times New Roman" w:cs="Times New Roman"/>
          <w:b/>
          <w:bCs/>
        </w:rPr>
      </w:pPr>
      <w:r w:rsidRPr="001040CE">
        <w:rPr>
          <w:rFonts w:ascii="Times New Roman" w:hAnsi="Times New Roman" w:cs="Times New Roman"/>
          <w:b/>
          <w:bCs/>
        </w:rPr>
        <w:t xml:space="preserve">More importantly, the interrelationships </w:t>
      </w:r>
      <w:proofErr w:type="gramStart"/>
      <w:r w:rsidRPr="001040CE">
        <w:rPr>
          <w:rFonts w:ascii="Times New Roman" w:hAnsi="Times New Roman" w:cs="Times New Roman"/>
          <w:b/>
          <w:bCs/>
        </w:rPr>
        <w:t>among</w:t>
      </w:r>
      <w:proofErr w:type="gramEnd"/>
      <w:r w:rsidRPr="001040CE">
        <w:rPr>
          <w:rFonts w:ascii="Times New Roman" w:hAnsi="Times New Roman" w:cs="Times New Roman"/>
          <w:b/>
          <w:bCs/>
        </w:rPr>
        <w:t xml:space="preserve"> plant diversity, </w:t>
      </w:r>
      <w:proofErr w:type="spellStart"/>
      <w:r w:rsidRPr="001040CE">
        <w:rPr>
          <w:rFonts w:ascii="Times New Roman" w:hAnsi="Times New Roman" w:cs="Times New Roman"/>
          <w:b/>
          <w:bCs/>
        </w:rPr>
        <w:t>biopores</w:t>
      </w:r>
      <w:proofErr w:type="spellEnd"/>
      <w:r w:rsidRPr="001040CE">
        <w:rPr>
          <w:rFonts w:ascii="Times New Roman" w:hAnsi="Times New Roman" w:cs="Times New Roman"/>
          <w:b/>
          <w:bCs/>
        </w:rPr>
        <w:t>, and SOC remain unclear. The correlations among the thre</w:t>
      </w:r>
      <w:r w:rsidRPr="00EB11D5">
        <w:rPr>
          <w:rFonts w:ascii="Times New Roman" w:hAnsi="Times New Roman" w:cs="Times New Roman"/>
          <w:b/>
          <w:bCs/>
        </w:rPr>
        <w:t xml:space="preserve">e do not represent a causal relationship, and the driving process of diversity is also not deep enough. </w:t>
      </w:r>
    </w:p>
    <w:p w14:paraId="1F6E63C7" w14:textId="2B146EC4" w:rsidR="008F7710" w:rsidRPr="008F7710" w:rsidRDefault="00777FDD" w:rsidP="004530BD">
      <w:pPr>
        <w:pStyle w:val="a6"/>
        <w:numPr>
          <w:ilvl w:val="0"/>
          <w:numId w:val="14"/>
        </w:numPr>
        <w:spacing w:line="360" w:lineRule="auto"/>
        <w:jc w:val="both"/>
        <w:rPr>
          <w:rFonts w:ascii="Times New Roman" w:hAnsi="Times New Roman" w:cs="Times New Roman"/>
        </w:rPr>
      </w:pPr>
      <w:r w:rsidRPr="008F7710">
        <w:rPr>
          <w:rFonts w:ascii="Times New Roman" w:hAnsi="Times New Roman" w:cs="Times New Roman"/>
        </w:rPr>
        <w:t xml:space="preserve">We agree that correlations do not, by themselves, establish causation. </w:t>
      </w:r>
      <w:r w:rsidRPr="008F7710">
        <w:rPr>
          <w:rFonts w:ascii="Times New Roman" w:hAnsi="Times New Roman" w:cs="Times New Roman" w:hint="eastAsia"/>
        </w:rPr>
        <w:t xml:space="preserve">We </w:t>
      </w:r>
      <w:r w:rsidRPr="008F7710">
        <w:rPr>
          <w:rFonts w:ascii="Times New Roman" w:hAnsi="Times New Roman" w:cs="Times New Roman"/>
        </w:rPr>
        <w:t xml:space="preserve">present the </w:t>
      </w:r>
      <w:proofErr w:type="spellStart"/>
      <w:r w:rsidRPr="008F7710">
        <w:rPr>
          <w:rFonts w:ascii="Times New Roman" w:hAnsi="Times New Roman" w:cs="Times New Roman"/>
        </w:rPr>
        <w:t>biopore</w:t>
      </w:r>
      <w:proofErr w:type="spellEnd"/>
      <w:r w:rsidRPr="008F7710">
        <w:rPr>
          <w:rFonts w:ascii="Times New Roman" w:hAnsi="Times New Roman" w:cs="Times New Roman"/>
        </w:rPr>
        <w:t xml:space="preserve"> pathway as a mechanistic hypothesis </w:t>
      </w:r>
      <w:r w:rsidRPr="008F7710">
        <w:rPr>
          <w:rFonts w:ascii="Times New Roman" w:hAnsi="Times New Roman" w:cs="Times New Roman"/>
        </w:rPr>
        <w:t>supported by pattern concordance (</w:t>
      </w:r>
      <w:r w:rsidRPr="008F7710">
        <w:rPr>
          <w:rFonts w:ascii="Times New Roman" w:hAnsi="Times New Roman" w:cs="Times New Roman" w:hint="eastAsia"/>
        </w:rPr>
        <w:t xml:space="preserve">plant </w:t>
      </w:r>
      <w:r w:rsidRPr="008F7710">
        <w:rPr>
          <w:rFonts w:ascii="Times New Roman" w:hAnsi="Times New Roman" w:cs="Times New Roman"/>
        </w:rPr>
        <w:t xml:space="preserve">diversity </w:t>
      </w:r>
      <w:r w:rsidRPr="008F7710">
        <w:rPr>
          <w:rFonts w:ascii="Times New Roman" w:hAnsi="Times New Roman" w:cs="Times New Roman" w:hint="eastAsia"/>
        </w:rPr>
        <w:t>/ specific plant combinations</w:t>
      </w:r>
      <w:r w:rsidRPr="008F7710">
        <w:rPr>
          <w:rFonts w:ascii="Times New Roman" w:hAnsi="Times New Roman" w:cs="Times New Roman"/>
        </w:rPr>
        <w:t xml:space="preserve">→ </w:t>
      </w:r>
      <w:proofErr w:type="spellStart"/>
      <w:r w:rsidRPr="008F7710">
        <w:rPr>
          <w:rFonts w:ascii="Times New Roman" w:hAnsi="Times New Roman" w:cs="Times New Roman"/>
        </w:rPr>
        <w:t>bioporosity</w:t>
      </w:r>
      <w:proofErr w:type="spellEnd"/>
      <w:r w:rsidRPr="008F7710">
        <w:rPr>
          <w:rFonts w:ascii="Times New Roman" w:hAnsi="Times New Roman" w:cs="Times New Roman"/>
        </w:rPr>
        <w:t xml:space="preserve"> → SOC) rather than as a demonstrated causal chain.</w:t>
      </w:r>
      <w:r w:rsidR="00877DE8" w:rsidRPr="008F7710">
        <w:rPr>
          <w:rFonts w:ascii="Times New Roman" w:hAnsi="Times New Roman" w:cs="Times New Roman"/>
        </w:rPr>
        <w:t xml:space="preserve"> In the revised </w:t>
      </w:r>
      <w:r w:rsidR="007C2009" w:rsidRPr="008F7710">
        <w:rPr>
          <w:rFonts w:ascii="Times New Roman" w:hAnsi="Times New Roman" w:cs="Times New Roman"/>
        </w:rPr>
        <w:t xml:space="preserve">manuscript, </w:t>
      </w:r>
      <w:r w:rsidR="007C2009">
        <w:rPr>
          <w:rFonts w:ascii="Times New Roman" w:hAnsi="Times New Roman" w:cs="Times New Roman" w:hint="eastAsia"/>
        </w:rPr>
        <w:t xml:space="preserve">we </w:t>
      </w:r>
      <w:r w:rsidR="008F7710">
        <w:rPr>
          <w:rFonts w:ascii="Times New Roman" w:hAnsi="Times New Roman" w:cs="Times New Roman" w:hint="eastAsia"/>
        </w:rPr>
        <w:t>complete</w:t>
      </w:r>
      <w:r w:rsidR="008F7710">
        <w:rPr>
          <w:rFonts w:ascii="Times New Roman" w:hAnsi="Times New Roman" w:cs="Times New Roman" w:hint="eastAsia"/>
        </w:rPr>
        <w:t>ly revised the introduction to clarify this point.</w:t>
      </w:r>
      <w:r w:rsidR="002F35BC">
        <w:rPr>
          <w:rFonts w:ascii="Times New Roman" w:hAnsi="Times New Roman" w:cs="Times New Roman" w:hint="eastAsia"/>
        </w:rPr>
        <w:t xml:space="preserve"> (Lines </w:t>
      </w:r>
      <w:r w:rsidR="004F4F50">
        <w:rPr>
          <w:rFonts w:ascii="Times New Roman" w:hAnsi="Times New Roman" w:cs="Times New Roman" w:hint="eastAsia"/>
        </w:rPr>
        <w:t>38-87 in the revised manuscript)</w:t>
      </w:r>
    </w:p>
    <w:p w14:paraId="0E682A0D" w14:textId="77777777" w:rsidR="00CA3375" w:rsidRPr="007525D6" w:rsidRDefault="001310C0" w:rsidP="004530BD">
      <w:pPr>
        <w:spacing w:line="360" w:lineRule="auto"/>
        <w:jc w:val="both"/>
        <w:rPr>
          <w:rFonts w:ascii="Times New Roman" w:hAnsi="Times New Roman" w:cs="Times New Roman"/>
          <w:b/>
          <w:bCs/>
        </w:rPr>
      </w:pPr>
      <w:r w:rsidRPr="00EB11D5">
        <w:rPr>
          <w:rFonts w:ascii="Times New Roman" w:hAnsi="Times New Roman" w:cs="Times New Roman"/>
          <w:b/>
          <w:bCs/>
        </w:rPr>
        <w:t xml:space="preserve">Although the authors repeatedly emphasize the importance of microorganisms in </w:t>
      </w:r>
      <w:proofErr w:type="spellStart"/>
      <w:r w:rsidRPr="00EB11D5">
        <w:rPr>
          <w:rFonts w:ascii="Times New Roman" w:hAnsi="Times New Roman" w:cs="Times New Roman"/>
          <w:b/>
          <w:bCs/>
        </w:rPr>
        <w:t>biopores</w:t>
      </w:r>
      <w:proofErr w:type="spellEnd"/>
      <w:r w:rsidRPr="00EB11D5">
        <w:rPr>
          <w:rFonts w:ascii="Times New Roman" w:hAnsi="Times New Roman" w:cs="Times New Roman"/>
          <w:b/>
          <w:bCs/>
        </w:rPr>
        <w:t xml:space="preserve">, direct microbial measurements are </w:t>
      </w:r>
      <w:r w:rsidRPr="007525D6">
        <w:rPr>
          <w:rFonts w:ascii="Times New Roman" w:hAnsi="Times New Roman" w:cs="Times New Roman"/>
          <w:b/>
          <w:bCs/>
        </w:rPr>
        <w:t xml:space="preserve">lacking. It would be valuable to incorporate such data to substantiate the claims. </w:t>
      </w:r>
    </w:p>
    <w:p w14:paraId="5788E667" w14:textId="3FCE8933" w:rsidR="009155BB" w:rsidRDefault="00715A5B" w:rsidP="004530BD">
      <w:pPr>
        <w:pStyle w:val="a6"/>
        <w:numPr>
          <w:ilvl w:val="0"/>
          <w:numId w:val="14"/>
        </w:numPr>
        <w:spacing w:line="360" w:lineRule="auto"/>
        <w:jc w:val="both"/>
        <w:rPr>
          <w:rFonts w:ascii="Times New Roman" w:hAnsi="Times New Roman" w:cs="Times New Roman"/>
        </w:rPr>
      </w:pPr>
      <w:r w:rsidRPr="00CA3375">
        <w:rPr>
          <w:rFonts w:ascii="Times New Roman" w:hAnsi="Times New Roman" w:cs="Times New Roman"/>
        </w:rPr>
        <w:t xml:space="preserve">We </w:t>
      </w:r>
      <w:r w:rsidR="0095502C" w:rsidRPr="00CA3375">
        <w:rPr>
          <w:rFonts w:ascii="Times New Roman" w:hAnsi="Times New Roman" w:cs="Times New Roman" w:hint="eastAsia"/>
        </w:rPr>
        <w:t xml:space="preserve">also </w:t>
      </w:r>
      <w:r w:rsidRPr="00CA3375">
        <w:rPr>
          <w:rFonts w:ascii="Times New Roman" w:hAnsi="Times New Roman" w:cs="Times New Roman"/>
        </w:rPr>
        <w:t xml:space="preserve">recognize the value of direct microbial measurements within </w:t>
      </w:r>
      <w:proofErr w:type="spellStart"/>
      <w:r w:rsidRPr="00CA3375">
        <w:rPr>
          <w:rFonts w:ascii="Times New Roman" w:hAnsi="Times New Roman" w:cs="Times New Roman"/>
        </w:rPr>
        <w:t>biopores</w:t>
      </w:r>
      <w:proofErr w:type="spellEnd"/>
      <w:r w:rsidRPr="00CA3375">
        <w:rPr>
          <w:rFonts w:ascii="Times New Roman" w:hAnsi="Times New Roman" w:cs="Times New Roman"/>
        </w:rPr>
        <w:t xml:space="preserve">. Unfortunately, </w:t>
      </w:r>
      <w:r w:rsidRPr="00CA3375">
        <w:rPr>
          <w:rFonts w:ascii="Times New Roman" w:hAnsi="Times New Roman" w:cs="Times New Roman"/>
          <w:i/>
          <w:iCs/>
        </w:rPr>
        <w:t xml:space="preserve">this long-term ecological research site has </w:t>
      </w:r>
      <w:r w:rsidRPr="00CA3375">
        <w:rPr>
          <w:rFonts w:ascii="Times New Roman" w:hAnsi="Times New Roman" w:cs="Times New Roman"/>
          <w:i/>
          <w:iCs/>
        </w:rPr>
        <w:t>since been decommissioned</w:t>
      </w:r>
      <w:r w:rsidRPr="00CA3375">
        <w:rPr>
          <w:rFonts w:ascii="Times New Roman" w:hAnsi="Times New Roman" w:cs="Times New Roman"/>
        </w:rPr>
        <w:t xml:space="preserve">, which precludes additional field sampling to add microbial assays at this location. </w:t>
      </w:r>
      <w:r w:rsidR="00877DE8">
        <w:rPr>
          <w:rFonts w:ascii="Times New Roman" w:hAnsi="Times New Roman" w:cs="Times New Roman"/>
        </w:rPr>
        <w:t xml:space="preserve">In the revised manuscript we emphasized the need for more microbial analyses </w:t>
      </w:r>
      <w:r w:rsidR="00CE3116">
        <w:rPr>
          <w:rFonts w:ascii="Times New Roman" w:hAnsi="Times New Roman" w:cs="Times New Roman" w:hint="eastAsia"/>
        </w:rPr>
        <w:t>to</w:t>
      </w:r>
      <w:r w:rsidR="00877DE8">
        <w:rPr>
          <w:rFonts w:ascii="Times New Roman" w:hAnsi="Times New Roman" w:cs="Times New Roman"/>
        </w:rPr>
        <w:t xml:space="preserve"> be done in similar studies in the futur</w:t>
      </w:r>
      <w:r w:rsidR="00857D74">
        <w:rPr>
          <w:rFonts w:ascii="Times New Roman" w:hAnsi="Times New Roman" w:cs="Times New Roman" w:hint="eastAsia"/>
        </w:rPr>
        <w:t>e.</w:t>
      </w:r>
    </w:p>
    <w:p w14:paraId="2ACE88B5" w14:textId="7F068BD9" w:rsidR="00086809" w:rsidRDefault="00EA37AC" w:rsidP="004530BD">
      <w:pPr>
        <w:pStyle w:val="a6"/>
        <w:spacing w:line="360" w:lineRule="auto"/>
        <w:ind w:left="800"/>
        <w:jc w:val="both"/>
        <w:rPr>
          <w:rFonts w:ascii="Times New Roman" w:hAnsi="Times New Roman" w:cs="Times New Roman"/>
        </w:rPr>
      </w:pPr>
      <w:r>
        <w:rPr>
          <w:rFonts w:ascii="Times New Roman" w:hAnsi="Times New Roman" w:cs="Times New Roman"/>
        </w:rPr>
        <w:t>“</w:t>
      </w:r>
      <w:r w:rsidRPr="00EA37AC">
        <w:rPr>
          <w:rFonts w:ascii="Times New Roman" w:hAnsi="Times New Roman" w:cs="Times New Roman"/>
        </w:rPr>
        <w:t xml:space="preserve">We also suggest that future studies incorporate more detailed analyses of microbial biomass, composition, and diversity to better elucidate microbial C processes occurring in </w:t>
      </w:r>
      <w:proofErr w:type="spellStart"/>
      <w:r w:rsidRPr="00EA37AC">
        <w:rPr>
          <w:rFonts w:ascii="Times New Roman" w:hAnsi="Times New Roman" w:cs="Times New Roman"/>
        </w:rPr>
        <w:t>biopores</w:t>
      </w:r>
      <w:proofErr w:type="spellEnd"/>
      <w:r w:rsidRPr="00EA37AC">
        <w:rPr>
          <w:rFonts w:ascii="Times New Roman" w:hAnsi="Times New Roman" w:cs="Times New Roman"/>
        </w:rPr>
        <w:t xml:space="preserve">. Combining X-ray µCT with pore-targeted microbial analyses, as demonstrated by Li et al. (2024), is expected to provide valuable insights into SOC accumulation driven by soil microorganisms in </w:t>
      </w:r>
      <w:proofErr w:type="spellStart"/>
      <w:r w:rsidRPr="00EA37AC">
        <w:rPr>
          <w:rFonts w:ascii="Times New Roman" w:hAnsi="Times New Roman" w:cs="Times New Roman"/>
        </w:rPr>
        <w:t>biopores</w:t>
      </w:r>
      <w:proofErr w:type="spellEnd"/>
      <w:r w:rsidRPr="00EA37AC">
        <w:rPr>
          <w:rFonts w:ascii="Times New Roman" w:hAnsi="Times New Roman" w:cs="Times New Roman"/>
        </w:rPr>
        <w:t>.</w:t>
      </w:r>
      <w:r>
        <w:rPr>
          <w:rFonts w:ascii="Times New Roman" w:hAnsi="Times New Roman" w:cs="Times New Roman"/>
        </w:rPr>
        <w:t>”</w:t>
      </w:r>
      <w:r>
        <w:rPr>
          <w:rFonts w:ascii="Times New Roman" w:hAnsi="Times New Roman" w:cs="Times New Roman" w:hint="eastAsia"/>
        </w:rPr>
        <w:t xml:space="preserve"> (Lines 301-311 in the revised manuscript)</w:t>
      </w:r>
    </w:p>
    <w:p w14:paraId="3FE3988B" w14:textId="77777777" w:rsidR="00086809" w:rsidRPr="00CA3375" w:rsidRDefault="00086809" w:rsidP="004530BD">
      <w:pPr>
        <w:pStyle w:val="a6"/>
        <w:spacing w:line="360" w:lineRule="auto"/>
        <w:ind w:left="800"/>
        <w:jc w:val="both"/>
        <w:rPr>
          <w:rFonts w:ascii="Times New Roman" w:hAnsi="Times New Roman" w:cs="Times New Roman" w:hint="eastAsia"/>
        </w:rPr>
      </w:pPr>
    </w:p>
    <w:p w14:paraId="2E5D47F4" w14:textId="7EFFDA3C" w:rsidR="009155BB" w:rsidRPr="00F16830" w:rsidRDefault="00CA3375" w:rsidP="004530BD">
      <w:pPr>
        <w:spacing w:line="360" w:lineRule="auto"/>
        <w:jc w:val="both"/>
        <w:rPr>
          <w:rFonts w:ascii="Times New Roman" w:hAnsi="Times New Roman" w:cs="Times New Roman"/>
          <w:b/>
          <w:bCs/>
        </w:rPr>
      </w:pPr>
      <w:r w:rsidRPr="00EB11D5">
        <w:rPr>
          <w:rFonts w:ascii="Times New Roman" w:hAnsi="Times New Roman" w:cs="Times New Roman"/>
          <w:b/>
          <w:bCs/>
        </w:rPr>
        <w:t xml:space="preserve">Additionally, introduction lacks sufficient background and theoretical foundation, and results are not adequately contextualized within existing literature or mechanistic frameworks. </w:t>
      </w:r>
    </w:p>
    <w:p w14:paraId="79ECD5C5" w14:textId="32238C09" w:rsidR="009155BB" w:rsidRDefault="00715A5B" w:rsidP="004530BD">
      <w:pPr>
        <w:pStyle w:val="a6"/>
        <w:numPr>
          <w:ilvl w:val="0"/>
          <w:numId w:val="14"/>
        </w:numPr>
        <w:spacing w:line="360" w:lineRule="auto"/>
        <w:jc w:val="both"/>
        <w:rPr>
          <w:rFonts w:ascii="Times New Roman" w:hAnsi="Times New Roman" w:cs="Times New Roman"/>
        </w:rPr>
      </w:pPr>
      <w:r w:rsidRPr="00715A5B">
        <w:rPr>
          <w:rFonts w:ascii="Times New Roman" w:hAnsi="Times New Roman" w:cs="Times New Roman"/>
        </w:rPr>
        <w:t xml:space="preserve">We have expanded the Introduction to provide a clearer theoretical foundation for how plant </w:t>
      </w:r>
      <w:proofErr w:type="gramStart"/>
      <w:r w:rsidRPr="00715A5B">
        <w:rPr>
          <w:rFonts w:ascii="Times New Roman" w:hAnsi="Times New Roman" w:cs="Times New Roman"/>
        </w:rPr>
        <w:lastRenderedPageBreak/>
        <w:t>diversity</w:t>
      </w:r>
      <w:proofErr w:type="gramEnd"/>
      <w:r w:rsidRPr="00715A5B">
        <w:rPr>
          <w:rFonts w:ascii="Times New Roman" w:hAnsi="Times New Roman" w:cs="Times New Roman"/>
        </w:rPr>
        <w:t xml:space="preserve"> can reorganize soil structure and thereby influence SOC dynamics. This includes a brief synthesis of the </w:t>
      </w:r>
      <w:proofErr w:type="spellStart"/>
      <w:r w:rsidRPr="00715A5B">
        <w:rPr>
          <w:rFonts w:ascii="Times New Roman" w:hAnsi="Times New Roman" w:cs="Times New Roman"/>
        </w:rPr>
        <w:t>biopore</w:t>
      </w:r>
      <w:proofErr w:type="spellEnd"/>
      <w:r w:rsidRPr="00715A5B">
        <w:rPr>
          <w:rFonts w:ascii="Times New Roman" w:hAnsi="Times New Roman" w:cs="Times New Roman"/>
        </w:rPr>
        <w:t>-as-hotspot framework and its implications for substrate inputs, microbial processing, and stabilization pathways. We also clarify why examining pore architecture offers complementary insight beyond biomass-based explanations.</w:t>
      </w:r>
    </w:p>
    <w:p w14:paraId="7AC9BC7C" w14:textId="77777777" w:rsidR="00D31D48" w:rsidRDefault="00D31D48" w:rsidP="004530BD">
      <w:pPr>
        <w:pStyle w:val="a6"/>
        <w:spacing w:line="360" w:lineRule="auto"/>
        <w:ind w:left="800"/>
        <w:jc w:val="both"/>
        <w:rPr>
          <w:rFonts w:ascii="Times New Roman" w:hAnsi="Times New Roman" w:cs="Times New Roman" w:hint="eastAsia"/>
        </w:rPr>
      </w:pPr>
    </w:p>
    <w:p w14:paraId="59E80F00" w14:textId="36944FD6" w:rsidR="0045572A" w:rsidRPr="0045572A" w:rsidRDefault="0045572A" w:rsidP="004530BD">
      <w:pPr>
        <w:spacing w:line="360" w:lineRule="auto"/>
        <w:jc w:val="both"/>
        <w:rPr>
          <w:rFonts w:ascii="Times New Roman" w:hAnsi="Times New Roman" w:cs="Times New Roman"/>
        </w:rPr>
      </w:pPr>
      <w:r w:rsidRPr="0045572A">
        <w:rPr>
          <w:rFonts w:ascii="Times New Roman" w:hAnsi="Times New Roman" w:cs="Times New Roman"/>
          <w:b/>
          <w:bCs/>
        </w:rPr>
        <w:t>It is recommended to strengthen the theoretical discussion and improve the scientific interpretation of the findings. Please see the specific comments below.</w:t>
      </w:r>
    </w:p>
    <w:p w14:paraId="37153149" w14:textId="56DA6150" w:rsidR="006B23E4" w:rsidRPr="00B107B0" w:rsidRDefault="00715A5B" w:rsidP="004530BD">
      <w:pPr>
        <w:pStyle w:val="a6"/>
        <w:numPr>
          <w:ilvl w:val="0"/>
          <w:numId w:val="14"/>
        </w:numPr>
        <w:spacing w:line="360" w:lineRule="auto"/>
        <w:jc w:val="both"/>
        <w:rPr>
          <w:rFonts w:ascii="Times New Roman" w:hAnsi="Times New Roman" w:cs="Times New Roman"/>
        </w:rPr>
      </w:pPr>
      <w:r w:rsidRPr="00715A5B">
        <w:rPr>
          <w:rFonts w:ascii="Times New Roman" w:hAnsi="Times New Roman" w:cs="Times New Roman"/>
        </w:rPr>
        <w:t>Although we acknowledge limitations</w:t>
      </w:r>
      <w:r w:rsidR="009155BB">
        <w:rPr>
          <w:rFonts w:ascii="Times New Roman" w:hAnsi="Times New Roman" w:cs="Times New Roman" w:hint="eastAsia"/>
        </w:rPr>
        <w:t xml:space="preserve">, </w:t>
      </w:r>
      <w:r w:rsidRPr="00715A5B">
        <w:rPr>
          <w:rFonts w:ascii="Times New Roman" w:hAnsi="Times New Roman" w:cs="Times New Roman"/>
        </w:rPr>
        <w:t>we believe the manuscript makes a useful contribution by elevating pore architecture as an integrative lens for understanding biodiversity</w:t>
      </w:r>
      <w:r w:rsidR="00A04B21">
        <w:rPr>
          <w:rFonts w:ascii="Times New Roman" w:hAnsi="Times New Roman" w:cs="Times New Roman" w:hint="eastAsia"/>
        </w:rPr>
        <w:t xml:space="preserve"> and </w:t>
      </w:r>
      <w:r w:rsidRPr="00715A5B">
        <w:rPr>
          <w:rFonts w:ascii="Times New Roman" w:hAnsi="Times New Roman" w:cs="Times New Roman"/>
        </w:rPr>
        <w:t xml:space="preserve">SOC linkages. Given the diversity of mechanisms currently discussed in the literature, we consider it valuable to foreground the </w:t>
      </w:r>
      <w:proofErr w:type="spellStart"/>
      <w:r w:rsidRPr="00715A5B">
        <w:rPr>
          <w:rFonts w:ascii="Times New Roman" w:hAnsi="Times New Roman" w:cs="Times New Roman"/>
        </w:rPr>
        <w:t>biopore</w:t>
      </w:r>
      <w:proofErr w:type="spellEnd"/>
      <w:r w:rsidRPr="00715A5B">
        <w:rPr>
          <w:rFonts w:ascii="Times New Roman" w:hAnsi="Times New Roman" w:cs="Times New Roman"/>
        </w:rPr>
        <w:t xml:space="preserve">-mediated pathway and to provide a transparent </w:t>
      </w:r>
      <w:r w:rsidRPr="00715A5B">
        <w:rPr>
          <w:rFonts w:ascii="Times New Roman" w:hAnsi="Times New Roman" w:cs="Times New Roman"/>
        </w:rPr>
        <w:t>framework and dataset that others can build upon.</w:t>
      </w:r>
      <w:r w:rsidR="00B107B0">
        <w:rPr>
          <w:rFonts w:ascii="Times New Roman" w:hAnsi="Times New Roman" w:cs="Times New Roman" w:hint="eastAsia"/>
        </w:rPr>
        <w:t xml:space="preserve"> </w:t>
      </w:r>
      <w:r w:rsidRPr="00B107B0">
        <w:rPr>
          <w:rFonts w:ascii="Times New Roman" w:hAnsi="Times New Roman" w:cs="Times New Roman"/>
        </w:rPr>
        <w:t>We hope these clarifications and revisions address the reviewer’s concerns and improve the theoretical and interpretive strength of the manuscript.</w:t>
      </w:r>
      <w:r w:rsidR="00877DE8">
        <w:rPr>
          <w:rFonts w:ascii="Times New Roman" w:hAnsi="Times New Roman" w:cs="Times New Roman"/>
        </w:rPr>
        <w:t xml:space="preserve"> </w:t>
      </w:r>
      <w:proofErr w:type="gramStart"/>
      <w:r w:rsidR="00877DE8">
        <w:rPr>
          <w:rFonts w:ascii="Times New Roman" w:hAnsi="Times New Roman" w:cs="Times New Roman"/>
        </w:rPr>
        <w:t>Nevertheless</w:t>
      </w:r>
      <w:proofErr w:type="gramEnd"/>
      <w:r w:rsidR="00877DE8">
        <w:rPr>
          <w:rFonts w:ascii="Times New Roman" w:hAnsi="Times New Roman" w:cs="Times New Roman"/>
        </w:rPr>
        <w:t xml:space="preserve"> we addressed all the specific comments the Reviewer made towards improvement in the Introduction as we detail our responses below.</w:t>
      </w:r>
    </w:p>
    <w:p w14:paraId="128C5F8D" w14:textId="77777777" w:rsidR="006B23E4" w:rsidRDefault="006B23E4" w:rsidP="004530BD">
      <w:pPr>
        <w:spacing w:line="360" w:lineRule="auto"/>
        <w:jc w:val="both"/>
        <w:rPr>
          <w:rFonts w:ascii="Times New Roman" w:hAnsi="Times New Roman" w:cs="Times New Roman"/>
          <w:b/>
          <w:bCs/>
        </w:rPr>
      </w:pPr>
    </w:p>
    <w:p w14:paraId="32EB30CE" w14:textId="672F0980" w:rsidR="001310C0" w:rsidRPr="006B23E4" w:rsidRDefault="001310C0" w:rsidP="004530BD">
      <w:pPr>
        <w:spacing w:line="360" w:lineRule="auto"/>
        <w:jc w:val="both"/>
        <w:rPr>
          <w:rFonts w:ascii="Times New Roman" w:hAnsi="Times New Roman" w:cs="Times New Roman"/>
        </w:rPr>
      </w:pPr>
      <w:r w:rsidRPr="006B23E4">
        <w:rPr>
          <w:rFonts w:ascii="Times New Roman" w:hAnsi="Times New Roman" w:cs="Times New Roman"/>
          <w:b/>
          <w:bCs/>
        </w:rPr>
        <w:t>Introduction</w:t>
      </w:r>
    </w:p>
    <w:p w14:paraId="03BC3079" w14:textId="77777777" w:rsidR="001310C0" w:rsidRPr="00E71EDC" w:rsidRDefault="001310C0" w:rsidP="004530BD">
      <w:pPr>
        <w:spacing w:line="360" w:lineRule="auto"/>
        <w:jc w:val="both"/>
        <w:rPr>
          <w:rFonts w:ascii="Times New Roman" w:hAnsi="Times New Roman" w:cs="Times New Roman"/>
          <w:b/>
          <w:bCs/>
        </w:rPr>
      </w:pPr>
      <w:r w:rsidRPr="00E71EDC">
        <w:rPr>
          <w:rFonts w:ascii="Times New Roman" w:hAnsi="Times New Roman" w:cs="Times New Roman"/>
          <w:b/>
          <w:bCs/>
        </w:rPr>
        <w:t xml:space="preserve">The Introduction fails to clearly articulate the research gap or motivate the study’s focus on plant diversity effects on pore structure and SOC. The logic between paragraphs is relatively weak, and the importance of </w:t>
      </w:r>
      <w:proofErr w:type="spellStart"/>
      <w:r w:rsidRPr="00E71EDC">
        <w:rPr>
          <w:rFonts w:ascii="Times New Roman" w:hAnsi="Times New Roman" w:cs="Times New Roman"/>
          <w:b/>
          <w:bCs/>
        </w:rPr>
        <w:t>biopores</w:t>
      </w:r>
      <w:proofErr w:type="spellEnd"/>
      <w:r w:rsidRPr="00E71EDC">
        <w:rPr>
          <w:rFonts w:ascii="Times New Roman" w:hAnsi="Times New Roman" w:cs="Times New Roman"/>
          <w:b/>
          <w:bCs/>
        </w:rPr>
        <w:t xml:space="preserve"> in mediating plant-soil- carbon interactions is not sufficiently established.</w:t>
      </w:r>
    </w:p>
    <w:p w14:paraId="17E72113" w14:textId="071901D1" w:rsidR="00E71EDC" w:rsidRDefault="009A480E" w:rsidP="004530BD">
      <w:pPr>
        <w:pStyle w:val="a6"/>
        <w:numPr>
          <w:ilvl w:val="0"/>
          <w:numId w:val="12"/>
        </w:numPr>
        <w:spacing w:line="360" w:lineRule="auto"/>
        <w:jc w:val="both"/>
        <w:rPr>
          <w:rFonts w:ascii="Times New Roman" w:hAnsi="Times New Roman" w:cs="Times New Roman"/>
        </w:rPr>
      </w:pPr>
      <w:r>
        <w:rPr>
          <w:rFonts w:ascii="Times New Roman" w:hAnsi="Times New Roman" w:cs="Times New Roman" w:hint="eastAsia"/>
        </w:rPr>
        <w:t xml:space="preserve">We have revised the Introduction part </w:t>
      </w:r>
      <w:r>
        <w:rPr>
          <w:rFonts w:ascii="Times New Roman" w:hAnsi="Times New Roman" w:cs="Times New Roman"/>
        </w:rPr>
        <w:t>thoroughly</w:t>
      </w:r>
      <w:r>
        <w:rPr>
          <w:rFonts w:ascii="Times New Roman" w:hAnsi="Times New Roman" w:cs="Times New Roman" w:hint="eastAsia"/>
        </w:rPr>
        <w:t>,</w:t>
      </w:r>
      <w:r w:rsidR="009479C3">
        <w:rPr>
          <w:rFonts w:ascii="Times New Roman" w:hAnsi="Times New Roman" w:cs="Times New Roman" w:hint="eastAsia"/>
        </w:rPr>
        <w:t xml:space="preserve"> </w:t>
      </w:r>
      <w:r w:rsidR="00C63241">
        <w:rPr>
          <w:rFonts w:ascii="Times New Roman" w:hAnsi="Times New Roman" w:cs="Times New Roman" w:hint="eastAsia"/>
        </w:rPr>
        <w:t xml:space="preserve">to connect the logic between paragraphs. </w:t>
      </w:r>
    </w:p>
    <w:p w14:paraId="595033B8" w14:textId="77777777" w:rsidR="00CF4339" w:rsidRPr="009A480E" w:rsidRDefault="00CF4339" w:rsidP="004530BD">
      <w:pPr>
        <w:pStyle w:val="a6"/>
        <w:spacing w:line="360" w:lineRule="auto"/>
        <w:ind w:left="800"/>
        <w:jc w:val="both"/>
        <w:rPr>
          <w:rFonts w:ascii="Times New Roman" w:hAnsi="Times New Roman" w:cs="Times New Roman" w:hint="eastAsia"/>
        </w:rPr>
      </w:pPr>
    </w:p>
    <w:p w14:paraId="659C3911" w14:textId="77777777" w:rsidR="001310C0" w:rsidRDefault="001310C0" w:rsidP="004530BD">
      <w:pPr>
        <w:spacing w:line="360" w:lineRule="auto"/>
        <w:jc w:val="both"/>
        <w:rPr>
          <w:rFonts w:ascii="Times New Roman" w:hAnsi="Times New Roman" w:cs="Times New Roman"/>
          <w:b/>
          <w:bCs/>
        </w:rPr>
      </w:pPr>
      <w:r w:rsidRPr="001310C0">
        <w:rPr>
          <w:rFonts w:ascii="Times New Roman" w:hAnsi="Times New Roman" w:cs="Times New Roman"/>
          <w:b/>
          <w:bCs/>
        </w:rPr>
        <w:t>Lines 34-37 and 41: The repeated emphasis on microbial processes is misleading since no microbial data were collected. This section should be refocused on mechanisms more directly related to the study</w:t>
      </w:r>
    </w:p>
    <w:p w14:paraId="55FB6568" w14:textId="2B650EB6" w:rsidR="00FF0440" w:rsidRDefault="00175C98" w:rsidP="004530BD">
      <w:pPr>
        <w:pStyle w:val="a6"/>
        <w:numPr>
          <w:ilvl w:val="0"/>
          <w:numId w:val="1"/>
        </w:numPr>
        <w:spacing w:line="360" w:lineRule="auto"/>
        <w:jc w:val="both"/>
        <w:rPr>
          <w:rFonts w:ascii="Times New Roman" w:hAnsi="Times New Roman" w:cs="Times New Roman"/>
        </w:rPr>
      </w:pPr>
      <w:r>
        <w:rPr>
          <w:rFonts w:ascii="Times New Roman" w:hAnsi="Times New Roman" w:cs="Times New Roman" w:hint="eastAsia"/>
        </w:rPr>
        <w:t xml:space="preserve">We would like </w:t>
      </w:r>
      <w:r>
        <w:rPr>
          <w:rFonts w:ascii="Times New Roman" w:hAnsi="Times New Roman" w:cs="Times New Roman" w:hint="eastAsia"/>
        </w:rPr>
        <w:t xml:space="preserve">to point </w:t>
      </w:r>
      <w:r>
        <w:rPr>
          <w:rFonts w:ascii="Times New Roman" w:hAnsi="Times New Roman" w:cs="Times New Roman" w:hint="eastAsia"/>
        </w:rPr>
        <w:t xml:space="preserve">out that </w:t>
      </w:r>
      <w:r w:rsidR="00A23CAF">
        <w:rPr>
          <w:rFonts w:ascii="Times New Roman" w:hAnsi="Times New Roman" w:cs="Times New Roman" w:hint="eastAsia"/>
        </w:rPr>
        <w:t>the first paragraph (in which Lines 34-47 and 41</w:t>
      </w:r>
      <w:r w:rsidR="0034690B">
        <w:rPr>
          <w:rFonts w:ascii="Times New Roman" w:hAnsi="Times New Roman" w:cs="Times New Roman" w:hint="eastAsia"/>
        </w:rPr>
        <w:t xml:space="preserve"> </w:t>
      </w:r>
      <w:r w:rsidR="003D5299">
        <w:rPr>
          <w:rFonts w:ascii="Times New Roman" w:hAnsi="Times New Roman" w:cs="Times New Roman"/>
        </w:rPr>
        <w:t>are located</w:t>
      </w:r>
      <w:r w:rsidR="0034690B">
        <w:rPr>
          <w:rFonts w:ascii="Times New Roman" w:hAnsi="Times New Roman" w:cs="Times New Roman" w:hint="eastAsia"/>
        </w:rPr>
        <w:t>)</w:t>
      </w:r>
      <w:r w:rsidR="00D759F5">
        <w:rPr>
          <w:rFonts w:ascii="Times New Roman" w:hAnsi="Times New Roman" w:cs="Times New Roman" w:hint="eastAsia"/>
        </w:rPr>
        <w:t xml:space="preserve"> is</w:t>
      </w:r>
      <w:r w:rsidR="00A444A1">
        <w:rPr>
          <w:rFonts w:ascii="Times New Roman" w:hAnsi="Times New Roman" w:cs="Times New Roman" w:hint="eastAsia"/>
        </w:rPr>
        <w:t xml:space="preserve"> reviewing </w:t>
      </w:r>
      <w:proofErr w:type="gramStart"/>
      <w:r w:rsidR="00A444A1">
        <w:rPr>
          <w:rFonts w:ascii="Times New Roman" w:hAnsi="Times New Roman" w:cs="Times New Roman" w:hint="eastAsia"/>
        </w:rPr>
        <w:t>known-mechanisms</w:t>
      </w:r>
      <w:proofErr w:type="gramEnd"/>
      <w:r w:rsidR="00A444A1">
        <w:rPr>
          <w:rFonts w:ascii="Times New Roman" w:hAnsi="Times New Roman" w:cs="Times New Roman" w:hint="eastAsia"/>
        </w:rPr>
        <w:t xml:space="preserve"> of how plant diversity increases SOC, </w:t>
      </w:r>
      <w:r w:rsidR="00A23CAF">
        <w:rPr>
          <w:rFonts w:ascii="Times New Roman" w:hAnsi="Times New Roman" w:cs="Times New Roman" w:hint="eastAsia"/>
        </w:rPr>
        <w:t>rather than</w:t>
      </w:r>
      <w:r w:rsidR="00D759F5">
        <w:rPr>
          <w:rFonts w:ascii="Times New Roman" w:hAnsi="Times New Roman" w:cs="Times New Roman" w:hint="eastAsia"/>
        </w:rPr>
        <w:t xml:space="preserve"> emphasizing the importance of </w:t>
      </w:r>
      <w:r>
        <w:rPr>
          <w:rFonts w:ascii="Times New Roman" w:hAnsi="Times New Roman" w:cs="Times New Roman" w:hint="eastAsia"/>
        </w:rPr>
        <w:t>soi</w:t>
      </w:r>
      <w:r w:rsidR="00DD68D4">
        <w:rPr>
          <w:rFonts w:ascii="Times New Roman" w:hAnsi="Times New Roman" w:cs="Times New Roman" w:hint="eastAsia"/>
        </w:rPr>
        <w:t>l microbial process</w:t>
      </w:r>
      <w:r w:rsidR="00A23CAF">
        <w:rPr>
          <w:rFonts w:ascii="Times New Roman" w:hAnsi="Times New Roman" w:cs="Times New Roman" w:hint="eastAsia"/>
        </w:rPr>
        <w:t xml:space="preserve"> for SOC accumulation</w:t>
      </w:r>
      <w:r w:rsidR="00C11FB5">
        <w:rPr>
          <w:rFonts w:ascii="Times New Roman" w:hAnsi="Times New Roman" w:cs="Times New Roman" w:hint="eastAsia"/>
        </w:rPr>
        <w:t xml:space="preserve">. </w:t>
      </w:r>
      <w:r w:rsidR="00E13D62">
        <w:rPr>
          <w:rFonts w:ascii="Times New Roman" w:hAnsi="Times New Roman" w:cs="Times New Roman" w:hint="eastAsia"/>
        </w:rPr>
        <w:t xml:space="preserve">Lines 34-37 includes most frequently discussed </w:t>
      </w:r>
      <w:r w:rsidR="008674FB">
        <w:rPr>
          <w:rFonts w:ascii="Times New Roman" w:hAnsi="Times New Roman" w:cs="Times New Roman"/>
        </w:rPr>
        <w:t>mechanisms on</w:t>
      </w:r>
      <w:r w:rsidR="00E13D62">
        <w:rPr>
          <w:rFonts w:ascii="Times New Roman" w:hAnsi="Times New Roman" w:cs="Times New Roman" w:hint="eastAsia"/>
        </w:rPr>
        <w:t xml:space="preserve"> how high plant diversity can gain </w:t>
      </w:r>
      <w:proofErr w:type="gramStart"/>
      <w:r w:rsidR="008674FB">
        <w:rPr>
          <w:rFonts w:ascii="Times New Roman" w:hAnsi="Times New Roman" w:cs="Times New Roman"/>
        </w:rPr>
        <w:t>more</w:t>
      </w:r>
      <w:r w:rsidR="004837C8">
        <w:rPr>
          <w:rFonts w:ascii="Times New Roman" w:hAnsi="Times New Roman" w:cs="Times New Roman" w:hint="eastAsia"/>
        </w:rPr>
        <w:t xml:space="preserve"> </w:t>
      </w:r>
      <w:r w:rsidR="008674FB">
        <w:rPr>
          <w:rFonts w:ascii="Times New Roman" w:hAnsi="Times New Roman" w:cs="Times New Roman" w:hint="eastAsia"/>
        </w:rPr>
        <w:t>soil</w:t>
      </w:r>
      <w:proofErr w:type="gramEnd"/>
      <w:r w:rsidR="008674FB">
        <w:rPr>
          <w:rFonts w:ascii="Times New Roman" w:hAnsi="Times New Roman" w:cs="Times New Roman" w:hint="eastAsia"/>
        </w:rPr>
        <w:t xml:space="preserve"> </w:t>
      </w:r>
      <w:r w:rsidR="00E13D62">
        <w:rPr>
          <w:rFonts w:ascii="Times New Roman" w:hAnsi="Times New Roman" w:cs="Times New Roman" w:hint="eastAsia"/>
        </w:rPr>
        <w:t>organic carbons. Line 41 includes sentences emph</w:t>
      </w:r>
      <w:r w:rsidR="008674FB">
        <w:rPr>
          <w:rFonts w:ascii="Times New Roman" w:hAnsi="Times New Roman" w:cs="Times New Roman" w:hint="eastAsia"/>
        </w:rPr>
        <w:t xml:space="preserve">asizing how C process can be </w:t>
      </w:r>
      <w:r w:rsidR="008674FB">
        <w:rPr>
          <w:rFonts w:ascii="Times New Roman" w:hAnsi="Times New Roman" w:cs="Times New Roman"/>
        </w:rPr>
        <w:t>affected</w:t>
      </w:r>
      <w:r w:rsidR="008674FB">
        <w:rPr>
          <w:rFonts w:ascii="Times New Roman" w:hAnsi="Times New Roman" w:cs="Times New Roman" w:hint="eastAsia"/>
        </w:rPr>
        <w:t xml:space="preserve"> by </w:t>
      </w:r>
      <w:r w:rsidR="008674FB">
        <w:rPr>
          <w:rFonts w:ascii="Times New Roman" w:hAnsi="Times New Roman" w:cs="Times New Roman"/>
        </w:rPr>
        <w:t>“</w:t>
      </w:r>
      <w:r w:rsidR="008674FB">
        <w:rPr>
          <w:rFonts w:ascii="Times New Roman" w:hAnsi="Times New Roman" w:cs="Times New Roman" w:hint="eastAsia"/>
        </w:rPr>
        <w:t>root growth</w:t>
      </w:r>
      <w:r w:rsidR="008674FB">
        <w:rPr>
          <w:rFonts w:ascii="Times New Roman" w:hAnsi="Times New Roman" w:cs="Times New Roman"/>
        </w:rPr>
        <w:t>”</w:t>
      </w:r>
      <w:r w:rsidR="008674FB">
        <w:rPr>
          <w:rFonts w:ascii="Times New Roman" w:hAnsi="Times New Roman" w:cs="Times New Roman" w:hint="eastAsia"/>
        </w:rPr>
        <w:t xml:space="preserve"> </w:t>
      </w:r>
      <w:r w:rsidR="008674FB">
        <w:rPr>
          <w:rFonts w:ascii="Times New Roman" w:hAnsi="Times New Roman" w:cs="Times New Roman"/>
        </w:rPr>
        <w:t>and</w:t>
      </w:r>
      <w:r w:rsidR="008674FB">
        <w:rPr>
          <w:rFonts w:ascii="Times New Roman" w:hAnsi="Times New Roman" w:cs="Times New Roman" w:hint="eastAsia"/>
        </w:rPr>
        <w:t xml:space="preserve"> changes in </w:t>
      </w:r>
      <w:r w:rsidR="008674FB">
        <w:rPr>
          <w:rFonts w:ascii="Times New Roman" w:hAnsi="Times New Roman" w:cs="Times New Roman"/>
        </w:rPr>
        <w:t>“</w:t>
      </w:r>
      <w:r w:rsidR="008674FB">
        <w:rPr>
          <w:rFonts w:ascii="Times New Roman" w:hAnsi="Times New Roman" w:cs="Times New Roman" w:hint="eastAsia"/>
        </w:rPr>
        <w:t>volume of soil matrix</w:t>
      </w:r>
      <w:r w:rsidR="008674FB">
        <w:rPr>
          <w:rFonts w:ascii="Times New Roman" w:hAnsi="Times New Roman" w:cs="Times New Roman"/>
        </w:rPr>
        <w:t>”</w:t>
      </w:r>
      <w:r w:rsidR="008674FB">
        <w:rPr>
          <w:rFonts w:ascii="Times New Roman" w:hAnsi="Times New Roman" w:cs="Times New Roman" w:hint="eastAsia"/>
        </w:rPr>
        <w:t>.</w:t>
      </w:r>
      <w:r w:rsidR="005C5C1B">
        <w:rPr>
          <w:rFonts w:ascii="Times New Roman" w:hAnsi="Times New Roman" w:cs="Times New Roman" w:hint="eastAsia"/>
        </w:rPr>
        <w:t xml:space="preserve"> </w:t>
      </w:r>
    </w:p>
    <w:p w14:paraId="16B2DF28" w14:textId="7510721C" w:rsidR="00E71EDC" w:rsidRPr="00E71EDC" w:rsidRDefault="007C7ED3" w:rsidP="004530BD">
      <w:pPr>
        <w:pStyle w:val="a6"/>
        <w:spacing w:line="360" w:lineRule="auto"/>
        <w:ind w:left="800"/>
        <w:jc w:val="both"/>
        <w:rPr>
          <w:rFonts w:ascii="Times New Roman" w:hAnsi="Times New Roman" w:cs="Times New Roman"/>
        </w:rPr>
      </w:pPr>
      <w:r w:rsidRPr="007C7ED3">
        <w:rPr>
          <w:rFonts w:ascii="Times New Roman" w:hAnsi="Times New Roman" w:cs="Times New Roman"/>
        </w:rPr>
        <w:lastRenderedPageBreak/>
        <w:t>Following the reviewer’s general comments</w:t>
      </w:r>
      <w:r>
        <w:rPr>
          <w:rFonts w:ascii="Times New Roman" w:hAnsi="Times New Roman" w:cs="Times New Roman" w:hint="eastAsia"/>
        </w:rPr>
        <w:t xml:space="preserve">, </w:t>
      </w:r>
      <w:r w:rsidR="00271460" w:rsidRPr="00271460">
        <w:rPr>
          <w:rFonts w:ascii="Times New Roman" w:hAnsi="Times New Roman" w:cs="Times New Roman"/>
        </w:rPr>
        <w:t xml:space="preserve">we clarified the logic that </w:t>
      </w:r>
      <w:proofErr w:type="spellStart"/>
      <w:r w:rsidR="00271460" w:rsidRPr="00271460">
        <w:rPr>
          <w:rFonts w:ascii="Times New Roman" w:hAnsi="Times New Roman" w:cs="Times New Roman"/>
        </w:rPr>
        <w:t>biopores</w:t>
      </w:r>
      <w:proofErr w:type="spellEnd"/>
      <w:r w:rsidR="00271460" w:rsidRPr="00271460">
        <w:rPr>
          <w:rFonts w:ascii="Times New Roman" w:hAnsi="Times New Roman" w:cs="Times New Roman"/>
        </w:rPr>
        <w:t xml:space="preserve"> are formed by roots and soil organisms, and that these structures serve as sites where they deposit carbon</w:t>
      </w:r>
      <w:r w:rsidR="00271460" w:rsidRPr="00271460">
        <w:rPr>
          <w:rFonts w:ascii="Times New Roman" w:hAnsi="Times New Roman" w:cs="Times New Roman" w:hint="eastAsia"/>
        </w:rPr>
        <w:t xml:space="preserve"> </w:t>
      </w:r>
      <w:r w:rsidR="00E71EDC">
        <w:rPr>
          <w:rFonts w:ascii="Times New Roman" w:hAnsi="Times New Roman" w:cs="Times New Roman" w:hint="eastAsia"/>
        </w:rPr>
        <w:t xml:space="preserve">(From Line 38 in the revised </w:t>
      </w:r>
      <w:r w:rsidR="00E71EDC">
        <w:rPr>
          <w:rFonts w:ascii="Times New Roman" w:hAnsi="Times New Roman" w:cs="Times New Roman"/>
        </w:rPr>
        <w:t>manuscript</w:t>
      </w:r>
      <w:r w:rsidR="00E71EDC">
        <w:rPr>
          <w:rFonts w:ascii="Times New Roman" w:hAnsi="Times New Roman" w:cs="Times New Roman" w:hint="eastAsia"/>
        </w:rPr>
        <w:t>).</w:t>
      </w:r>
    </w:p>
    <w:p w14:paraId="35463A56" w14:textId="77777777" w:rsidR="001310C0" w:rsidRDefault="001310C0" w:rsidP="004530BD">
      <w:pPr>
        <w:spacing w:line="360" w:lineRule="auto"/>
        <w:jc w:val="both"/>
        <w:rPr>
          <w:rFonts w:ascii="Times New Roman" w:hAnsi="Times New Roman" w:cs="Times New Roman"/>
          <w:b/>
          <w:bCs/>
        </w:rPr>
      </w:pPr>
      <w:r w:rsidRPr="001310C0">
        <w:rPr>
          <w:rFonts w:ascii="Times New Roman" w:hAnsi="Times New Roman" w:cs="Times New Roman"/>
          <w:b/>
          <w:bCs/>
        </w:rPr>
        <w:t>Lines 44-45: The claim that pore structure affects root-soil interactions and plant-derived carbon requires supporting references or clearer conceptual linkage.</w:t>
      </w:r>
    </w:p>
    <w:p w14:paraId="5749907C" w14:textId="7B34BF96" w:rsidR="009C443B" w:rsidRPr="00BE6594" w:rsidRDefault="009C443B" w:rsidP="004530BD">
      <w:pPr>
        <w:pStyle w:val="a6"/>
        <w:numPr>
          <w:ilvl w:val="0"/>
          <w:numId w:val="1"/>
        </w:numPr>
        <w:spacing w:line="360" w:lineRule="auto"/>
        <w:jc w:val="both"/>
        <w:rPr>
          <w:rFonts w:ascii="Times New Roman" w:hAnsi="Times New Roman" w:cs="Times New Roman" w:hint="eastAsia"/>
          <w:b/>
          <w:bCs/>
        </w:rPr>
      </w:pPr>
      <w:r>
        <w:rPr>
          <w:rFonts w:ascii="Times New Roman" w:hAnsi="Times New Roman" w:cs="Times New Roman" w:hint="eastAsia"/>
        </w:rPr>
        <w:t xml:space="preserve">We </w:t>
      </w:r>
      <w:r w:rsidR="002172E0">
        <w:rPr>
          <w:rFonts w:ascii="Times New Roman" w:hAnsi="Times New Roman" w:cs="Times New Roman" w:hint="eastAsia"/>
        </w:rPr>
        <w:t>have</w:t>
      </w:r>
      <w:r>
        <w:rPr>
          <w:rFonts w:ascii="Times New Roman" w:hAnsi="Times New Roman" w:cs="Times New Roman" w:hint="eastAsia"/>
        </w:rPr>
        <w:t xml:space="preserve"> provided clearer conceptual linkage </w:t>
      </w:r>
      <w:r w:rsidR="002172E0">
        <w:rPr>
          <w:rFonts w:ascii="Times New Roman" w:hAnsi="Times New Roman" w:cs="Times New Roman" w:hint="eastAsia"/>
        </w:rPr>
        <w:t>in the expanded introduction</w:t>
      </w:r>
      <w:r w:rsidR="00264966">
        <w:rPr>
          <w:rFonts w:ascii="Times New Roman" w:hAnsi="Times New Roman" w:cs="Times New Roman" w:hint="eastAsia"/>
        </w:rPr>
        <w:t xml:space="preserve"> (</w:t>
      </w:r>
      <w:r>
        <w:rPr>
          <w:rFonts w:ascii="Times New Roman" w:hAnsi="Times New Roman" w:cs="Times New Roman" w:hint="eastAsia"/>
        </w:rPr>
        <w:t>Lines 38-55 in the revised manuscript</w:t>
      </w:r>
      <w:r w:rsidR="00264966">
        <w:rPr>
          <w:rFonts w:ascii="Times New Roman" w:hAnsi="Times New Roman" w:cs="Times New Roman" w:hint="eastAsia"/>
        </w:rPr>
        <w:t>).</w:t>
      </w:r>
    </w:p>
    <w:p w14:paraId="6238C411" w14:textId="3030B2D6" w:rsidR="001310C0" w:rsidRPr="009C443B" w:rsidRDefault="001310C0" w:rsidP="004530BD">
      <w:pPr>
        <w:spacing w:line="360" w:lineRule="auto"/>
        <w:jc w:val="both"/>
        <w:rPr>
          <w:rFonts w:ascii="Times New Roman" w:hAnsi="Times New Roman" w:cs="Times New Roman"/>
          <w:b/>
          <w:bCs/>
        </w:rPr>
      </w:pPr>
      <w:r w:rsidRPr="009C443B">
        <w:rPr>
          <w:rFonts w:ascii="Times New Roman" w:hAnsi="Times New Roman" w:cs="Times New Roman"/>
          <w:b/>
          <w:bCs/>
        </w:rPr>
        <w:t>Lines 46-50: Lack of references.</w:t>
      </w:r>
    </w:p>
    <w:p w14:paraId="7BB187E2" w14:textId="77777777" w:rsidR="00E8110A" w:rsidRPr="00E8110A" w:rsidRDefault="00E8110A" w:rsidP="004530BD">
      <w:pPr>
        <w:pStyle w:val="a6"/>
        <w:numPr>
          <w:ilvl w:val="0"/>
          <w:numId w:val="1"/>
        </w:numPr>
        <w:spacing w:line="360" w:lineRule="auto"/>
        <w:jc w:val="both"/>
        <w:rPr>
          <w:rFonts w:ascii="Times New Roman" w:hAnsi="Times New Roman" w:cs="Times New Roman"/>
          <w:b/>
          <w:bCs/>
        </w:rPr>
      </w:pPr>
      <w:r w:rsidRPr="00E8110A">
        <w:rPr>
          <w:rFonts w:ascii="Times New Roman" w:hAnsi="Times New Roman" w:cs="Times New Roman"/>
        </w:rPr>
        <w:t>This sentence objectively outlines well-recognized challenges in soil research, namely the opacity of soil and the difficulty of conducting long-term experiments. As it does not pertain to specific research findings or the claims of individual scholars, a reference is not deemed strictly necessary.</w:t>
      </w:r>
    </w:p>
    <w:p w14:paraId="36C69D50" w14:textId="7A5DCDEA" w:rsidR="001310C0" w:rsidRPr="00E8110A" w:rsidRDefault="001310C0" w:rsidP="004530BD">
      <w:pPr>
        <w:spacing w:line="360" w:lineRule="auto"/>
        <w:jc w:val="both"/>
        <w:rPr>
          <w:rFonts w:ascii="Times New Roman" w:hAnsi="Times New Roman" w:cs="Times New Roman"/>
          <w:b/>
          <w:bCs/>
        </w:rPr>
      </w:pPr>
      <w:r w:rsidRPr="00E8110A">
        <w:rPr>
          <w:rFonts w:ascii="Times New Roman" w:hAnsi="Times New Roman" w:cs="Times New Roman"/>
          <w:b/>
          <w:bCs/>
        </w:rPr>
        <w:t xml:space="preserve">Lines 61-64: How are </w:t>
      </w:r>
      <w:proofErr w:type="spellStart"/>
      <w:r w:rsidRPr="00E8110A">
        <w:rPr>
          <w:rFonts w:ascii="Times New Roman" w:hAnsi="Times New Roman" w:cs="Times New Roman"/>
          <w:b/>
          <w:bCs/>
        </w:rPr>
        <w:t>biopores</w:t>
      </w:r>
      <w:proofErr w:type="spellEnd"/>
      <w:r w:rsidRPr="00E8110A">
        <w:rPr>
          <w:rFonts w:ascii="Times New Roman" w:hAnsi="Times New Roman" w:cs="Times New Roman"/>
          <w:b/>
          <w:bCs/>
        </w:rPr>
        <w:t xml:space="preserve"> and SOC related?</w:t>
      </w:r>
    </w:p>
    <w:p w14:paraId="3208334B" w14:textId="7AEC1629" w:rsidR="002738A8" w:rsidRPr="002738A8" w:rsidRDefault="00854D8B" w:rsidP="004530BD">
      <w:pPr>
        <w:pStyle w:val="a6"/>
        <w:numPr>
          <w:ilvl w:val="0"/>
          <w:numId w:val="1"/>
        </w:numPr>
        <w:spacing w:line="360" w:lineRule="auto"/>
        <w:jc w:val="both"/>
        <w:rPr>
          <w:rFonts w:ascii="Times New Roman" w:hAnsi="Times New Roman" w:cs="Times New Roman"/>
          <w:b/>
          <w:bCs/>
        </w:rPr>
      </w:pPr>
      <w:r>
        <w:rPr>
          <w:rFonts w:ascii="Times New Roman" w:hAnsi="Times New Roman" w:cs="Times New Roman" w:hint="eastAsia"/>
        </w:rPr>
        <w:t xml:space="preserve">We </w:t>
      </w:r>
      <w:r w:rsidR="00CA53A0">
        <w:rPr>
          <w:rFonts w:ascii="Times New Roman" w:hAnsi="Times New Roman" w:cs="Times New Roman" w:hint="eastAsia"/>
        </w:rPr>
        <w:t xml:space="preserve">described the </w:t>
      </w:r>
      <w:proofErr w:type="spellStart"/>
      <w:r w:rsidR="00CA53A0">
        <w:rPr>
          <w:rFonts w:ascii="Times New Roman" w:hAnsi="Times New Roman" w:cs="Times New Roman" w:hint="eastAsia"/>
        </w:rPr>
        <w:t>biopores</w:t>
      </w:r>
      <w:proofErr w:type="spellEnd"/>
      <w:r w:rsidR="00CA53A0">
        <w:rPr>
          <w:rFonts w:ascii="Times New Roman" w:hAnsi="Times New Roman" w:cs="Times New Roman" w:hint="eastAsia"/>
        </w:rPr>
        <w:t xml:space="preserve"> as the spe</w:t>
      </w:r>
      <w:r w:rsidR="00D11E82">
        <w:rPr>
          <w:rFonts w:ascii="Times New Roman" w:hAnsi="Times New Roman" w:cs="Times New Roman" w:hint="eastAsia"/>
        </w:rPr>
        <w:t xml:space="preserve">cific location within the soil matrix where SOC is processed. </w:t>
      </w:r>
      <w:r w:rsidR="006D69A0">
        <w:rPr>
          <w:rFonts w:ascii="Times New Roman" w:hAnsi="Times New Roman" w:cs="Times New Roman" w:hint="eastAsia"/>
        </w:rPr>
        <w:t xml:space="preserve">Also, </w:t>
      </w:r>
      <w:r w:rsidR="00605574">
        <w:rPr>
          <w:rFonts w:ascii="Times New Roman" w:hAnsi="Times New Roman" w:cs="Times New Roman" w:hint="eastAsia"/>
        </w:rPr>
        <w:t xml:space="preserve">please note that </w:t>
      </w:r>
      <w:r w:rsidR="00C268BD">
        <w:rPr>
          <w:rFonts w:ascii="Times New Roman" w:hAnsi="Times New Roman" w:cs="Times New Roman" w:hint="eastAsia"/>
        </w:rPr>
        <w:t>our hypothesis</w:t>
      </w:r>
      <w:r w:rsidR="00147606">
        <w:rPr>
          <w:rFonts w:ascii="Times New Roman" w:hAnsi="Times New Roman" w:cs="Times New Roman" w:hint="eastAsia"/>
        </w:rPr>
        <w:t xml:space="preserve"> </w:t>
      </w:r>
      <w:r w:rsidR="00C268BD">
        <w:rPr>
          <w:rFonts w:ascii="Times New Roman" w:hAnsi="Times New Roman" w:cs="Times New Roman" w:hint="eastAsia"/>
        </w:rPr>
        <w:t xml:space="preserve">on </w:t>
      </w:r>
      <w:proofErr w:type="spellStart"/>
      <w:r w:rsidR="00C268BD">
        <w:rPr>
          <w:rFonts w:ascii="Times New Roman" w:hAnsi="Times New Roman" w:cs="Times New Roman" w:hint="eastAsia"/>
        </w:rPr>
        <w:t>biopore</w:t>
      </w:r>
      <w:proofErr w:type="spellEnd"/>
      <w:r w:rsidR="00C268BD">
        <w:rPr>
          <w:rFonts w:ascii="Times New Roman" w:hAnsi="Times New Roman" w:cs="Times New Roman" w:hint="eastAsia"/>
        </w:rPr>
        <w:t>-SOC relationship</w:t>
      </w:r>
      <w:r w:rsidR="00147606">
        <w:rPr>
          <w:rFonts w:ascii="Times New Roman" w:hAnsi="Times New Roman" w:cs="Times New Roman" w:hint="eastAsia"/>
        </w:rPr>
        <w:t xml:space="preserve">, that </w:t>
      </w:r>
      <w:r w:rsidR="00147606" w:rsidRPr="00730F5E">
        <w:rPr>
          <w:rFonts w:ascii="Times New Roman" w:hAnsi="Times New Roman" w:cs="Times New Roman"/>
        </w:rPr>
        <w:t xml:space="preserve">higher plant diversity promotes the abundance and formation of root </w:t>
      </w:r>
      <w:proofErr w:type="spellStart"/>
      <w:r w:rsidR="00147606" w:rsidRPr="00730F5E">
        <w:rPr>
          <w:rFonts w:ascii="Times New Roman" w:hAnsi="Times New Roman" w:cs="Times New Roman"/>
        </w:rPr>
        <w:t>biopores</w:t>
      </w:r>
      <w:proofErr w:type="spellEnd"/>
      <w:r w:rsidR="00147606" w:rsidRPr="00730F5E">
        <w:rPr>
          <w:rFonts w:ascii="Times New Roman" w:hAnsi="Times New Roman" w:cs="Times New Roman"/>
        </w:rPr>
        <w:t xml:space="preserve"> and that this enhanced </w:t>
      </w:r>
      <w:proofErr w:type="spellStart"/>
      <w:r w:rsidR="00147606" w:rsidRPr="00730F5E">
        <w:rPr>
          <w:rFonts w:ascii="Times New Roman" w:hAnsi="Times New Roman" w:cs="Times New Roman"/>
        </w:rPr>
        <w:t>biopore</w:t>
      </w:r>
      <w:proofErr w:type="spellEnd"/>
      <w:r w:rsidR="00147606" w:rsidRPr="00730F5E">
        <w:rPr>
          <w:rFonts w:ascii="Times New Roman" w:hAnsi="Times New Roman" w:cs="Times New Roman"/>
        </w:rPr>
        <w:t xml:space="preserve"> development is associated with greater gains in SOC</w:t>
      </w:r>
      <w:r w:rsidR="00147606">
        <w:rPr>
          <w:rFonts w:ascii="Times New Roman" w:hAnsi="Times New Roman" w:cs="Times New Roman" w:hint="eastAsia"/>
        </w:rPr>
        <w:t xml:space="preserve">, </w:t>
      </w:r>
      <w:r w:rsidR="00C268BD">
        <w:rPr>
          <w:rFonts w:ascii="Times New Roman" w:hAnsi="Times New Roman" w:cs="Times New Roman" w:hint="eastAsia"/>
        </w:rPr>
        <w:t>is suppo</w:t>
      </w:r>
      <w:r w:rsidR="00334ECF">
        <w:rPr>
          <w:rFonts w:ascii="Times New Roman" w:hAnsi="Times New Roman" w:cs="Times New Roman" w:hint="eastAsia"/>
        </w:rPr>
        <w:t xml:space="preserve">rted by </w:t>
      </w:r>
      <w:r w:rsidR="00CE672F">
        <w:rPr>
          <w:rFonts w:ascii="Times New Roman" w:hAnsi="Times New Roman" w:cs="Times New Roman" w:hint="eastAsia"/>
        </w:rPr>
        <w:t xml:space="preserve">the </w:t>
      </w:r>
      <w:r w:rsidR="00334ECF">
        <w:rPr>
          <w:rFonts w:ascii="Times New Roman" w:hAnsi="Times New Roman" w:cs="Times New Roman" w:hint="eastAsia"/>
        </w:rPr>
        <w:t>results.</w:t>
      </w:r>
    </w:p>
    <w:p w14:paraId="7C8DD76E" w14:textId="56450CC8" w:rsidR="001310C0" w:rsidRPr="002738A8" w:rsidRDefault="001310C0" w:rsidP="004530BD">
      <w:pPr>
        <w:spacing w:line="360" w:lineRule="auto"/>
        <w:jc w:val="both"/>
        <w:rPr>
          <w:rFonts w:ascii="Times New Roman" w:hAnsi="Times New Roman" w:cs="Times New Roman"/>
          <w:b/>
          <w:bCs/>
        </w:rPr>
      </w:pPr>
      <w:r w:rsidRPr="002738A8">
        <w:rPr>
          <w:rFonts w:ascii="Times New Roman" w:hAnsi="Times New Roman" w:cs="Times New Roman"/>
          <w:b/>
          <w:bCs/>
        </w:rPr>
        <w:t xml:space="preserve">Lines 74-77: The research objective is the relationship between </w:t>
      </w:r>
      <w:proofErr w:type="spellStart"/>
      <w:r w:rsidRPr="002738A8">
        <w:rPr>
          <w:rFonts w:ascii="Times New Roman" w:hAnsi="Times New Roman" w:cs="Times New Roman"/>
          <w:b/>
          <w:bCs/>
        </w:rPr>
        <w:t>biopores</w:t>
      </w:r>
      <w:proofErr w:type="spellEnd"/>
      <w:r w:rsidRPr="002738A8">
        <w:rPr>
          <w:rFonts w:ascii="Times New Roman" w:hAnsi="Times New Roman" w:cs="Times New Roman"/>
          <w:b/>
          <w:bCs/>
        </w:rPr>
        <w:t xml:space="preserve"> and C. However, the significance of this part of the research is not elaborated in the Introduction. Instead, it has been constantly describing the spatial distribution and morphological characteristics of the root </w:t>
      </w:r>
      <w:r w:rsidRPr="002738A8">
        <w:rPr>
          <w:rFonts w:ascii="Times New Roman" w:hAnsi="Times New Roman" w:cs="Times New Roman"/>
          <w:b/>
          <w:bCs/>
        </w:rPr>
        <w:lastRenderedPageBreak/>
        <w:t>system. Here, no data on the morphology and distribution of the root system were measured in this study.</w:t>
      </w:r>
    </w:p>
    <w:p w14:paraId="4972D04E" w14:textId="3A05BE06" w:rsidR="009031CC" w:rsidRPr="00A43251" w:rsidRDefault="00AC1956" w:rsidP="004530BD">
      <w:pPr>
        <w:pStyle w:val="a6"/>
        <w:numPr>
          <w:ilvl w:val="0"/>
          <w:numId w:val="1"/>
        </w:numPr>
        <w:spacing w:line="360" w:lineRule="auto"/>
        <w:jc w:val="both"/>
        <w:rPr>
          <w:rFonts w:ascii="Times New Roman" w:hAnsi="Times New Roman" w:cs="Times New Roman" w:hint="eastAsia"/>
        </w:rPr>
      </w:pPr>
      <w:r>
        <w:rPr>
          <w:rFonts w:ascii="Times New Roman" w:hAnsi="Times New Roman" w:cs="Times New Roman" w:hint="eastAsia"/>
        </w:rPr>
        <w:t>We thoroughly revised the introduction part, following the reviewer</w:t>
      </w:r>
      <w:r>
        <w:rPr>
          <w:rFonts w:ascii="Times New Roman" w:hAnsi="Times New Roman" w:cs="Times New Roman"/>
        </w:rPr>
        <w:t>’</w:t>
      </w:r>
      <w:r>
        <w:rPr>
          <w:rFonts w:ascii="Times New Roman" w:hAnsi="Times New Roman" w:cs="Times New Roman" w:hint="eastAsia"/>
        </w:rPr>
        <w:t>s comment</w:t>
      </w:r>
      <w:r w:rsidR="00B73357">
        <w:rPr>
          <w:rFonts w:ascii="Times New Roman" w:hAnsi="Times New Roman" w:cs="Times New Roman" w:hint="eastAsia"/>
        </w:rPr>
        <w:t xml:space="preserve"> (Lines 29-</w:t>
      </w:r>
      <w:r w:rsidR="009E5993">
        <w:rPr>
          <w:rFonts w:ascii="Times New Roman" w:hAnsi="Times New Roman" w:cs="Times New Roman" w:hint="eastAsia"/>
        </w:rPr>
        <w:t>99</w:t>
      </w:r>
      <w:r w:rsidR="00B73357">
        <w:rPr>
          <w:rFonts w:ascii="Times New Roman" w:hAnsi="Times New Roman" w:cs="Times New Roman" w:hint="eastAsia"/>
        </w:rPr>
        <w:t xml:space="preserve"> in the revised manuscript).</w:t>
      </w:r>
    </w:p>
    <w:p w14:paraId="688EA134" w14:textId="77777777" w:rsidR="001310C0" w:rsidRPr="001310C0" w:rsidRDefault="001310C0" w:rsidP="004530BD">
      <w:pPr>
        <w:spacing w:line="360" w:lineRule="auto"/>
        <w:jc w:val="both"/>
        <w:rPr>
          <w:rFonts w:ascii="Times New Roman" w:hAnsi="Times New Roman" w:cs="Times New Roman"/>
        </w:rPr>
      </w:pPr>
      <w:r w:rsidRPr="001310C0">
        <w:rPr>
          <w:rFonts w:ascii="Times New Roman" w:hAnsi="Times New Roman" w:cs="Times New Roman"/>
          <w:b/>
          <w:bCs/>
        </w:rPr>
        <w:t>Materials and Methods</w:t>
      </w:r>
    </w:p>
    <w:p w14:paraId="42CB26AD" w14:textId="77777777" w:rsidR="001310C0" w:rsidRPr="009031CC" w:rsidRDefault="001310C0" w:rsidP="004530BD">
      <w:pPr>
        <w:spacing w:line="360" w:lineRule="auto"/>
        <w:jc w:val="both"/>
        <w:rPr>
          <w:rFonts w:ascii="Times New Roman" w:hAnsi="Times New Roman" w:cs="Times New Roman"/>
          <w:b/>
          <w:bCs/>
        </w:rPr>
      </w:pPr>
      <w:r w:rsidRPr="009031CC">
        <w:rPr>
          <w:rFonts w:ascii="Times New Roman" w:hAnsi="Times New Roman" w:cs="Times New Roman"/>
          <w:b/>
          <w:bCs/>
        </w:rPr>
        <w:t>Lines 80-90: Key agronomic details are missing. i.e., sowing dates and frequency for </w:t>
      </w:r>
      <w:r w:rsidRPr="009031CC">
        <w:rPr>
          <w:rFonts w:ascii="Times New Roman" w:hAnsi="Times New Roman" w:cs="Times New Roman"/>
          <w:b/>
          <w:bCs/>
          <w:i/>
          <w:iCs/>
        </w:rPr>
        <w:t>switchgrass</w:t>
      </w:r>
      <w:r w:rsidRPr="009031CC">
        <w:rPr>
          <w:rFonts w:ascii="Times New Roman" w:hAnsi="Times New Roman" w:cs="Times New Roman"/>
          <w:b/>
          <w:bCs/>
        </w:rPr>
        <w:t> and </w:t>
      </w:r>
      <w:r w:rsidRPr="009031CC">
        <w:rPr>
          <w:rFonts w:ascii="Times New Roman" w:hAnsi="Times New Roman" w:cs="Times New Roman"/>
          <w:b/>
          <w:bCs/>
          <w:i/>
          <w:iCs/>
        </w:rPr>
        <w:t>Canadian rye</w:t>
      </w:r>
      <w:r w:rsidRPr="009031CC">
        <w:rPr>
          <w:rFonts w:ascii="Times New Roman" w:hAnsi="Times New Roman" w:cs="Times New Roman"/>
          <w:b/>
          <w:bCs/>
        </w:rPr>
        <w:t>.</w:t>
      </w:r>
    </w:p>
    <w:p w14:paraId="3E3AA676" w14:textId="489277FC" w:rsidR="001B5C85" w:rsidRPr="009031CC" w:rsidRDefault="00A72549" w:rsidP="004530BD">
      <w:pPr>
        <w:pStyle w:val="a6"/>
        <w:numPr>
          <w:ilvl w:val="0"/>
          <w:numId w:val="1"/>
        </w:numPr>
        <w:spacing w:line="360" w:lineRule="auto"/>
        <w:jc w:val="both"/>
        <w:rPr>
          <w:rFonts w:ascii="Times New Roman" w:hAnsi="Times New Roman" w:cs="Times New Roman"/>
        </w:rPr>
      </w:pPr>
      <w:r w:rsidRPr="009031CC">
        <w:rPr>
          <w:rFonts w:ascii="Times New Roman" w:hAnsi="Times New Roman" w:cs="Times New Roman"/>
        </w:rPr>
        <w:t xml:space="preserve">All plant communities were planted in 2008. There were </w:t>
      </w:r>
      <w:proofErr w:type="gramStart"/>
      <w:r w:rsidRPr="009031CC">
        <w:rPr>
          <w:rFonts w:ascii="Times New Roman" w:hAnsi="Times New Roman" w:cs="Times New Roman"/>
        </w:rPr>
        <w:t>no</w:t>
      </w:r>
      <w:proofErr w:type="gramEnd"/>
      <w:r w:rsidRPr="009031CC">
        <w:rPr>
          <w:rFonts w:ascii="Times New Roman" w:hAnsi="Times New Roman" w:cs="Times New Roman"/>
        </w:rPr>
        <w:t xml:space="preserve"> any further </w:t>
      </w:r>
      <w:proofErr w:type="gramStart"/>
      <w:r w:rsidRPr="009031CC">
        <w:rPr>
          <w:rFonts w:ascii="Times New Roman" w:hAnsi="Times New Roman" w:cs="Times New Roman"/>
        </w:rPr>
        <w:t>sawing</w:t>
      </w:r>
      <w:proofErr w:type="gramEnd"/>
      <w:r w:rsidRPr="009031CC">
        <w:rPr>
          <w:rFonts w:ascii="Times New Roman" w:hAnsi="Times New Roman" w:cs="Times New Roman"/>
        </w:rPr>
        <w:t xml:space="preserve"> events.</w:t>
      </w:r>
    </w:p>
    <w:p w14:paraId="4524785C" w14:textId="77777777" w:rsidR="00E30D02" w:rsidRDefault="00E30D02" w:rsidP="004530BD">
      <w:pPr>
        <w:spacing w:line="360" w:lineRule="auto"/>
        <w:jc w:val="both"/>
        <w:rPr>
          <w:rFonts w:ascii="Times New Roman" w:hAnsi="Times New Roman" w:cs="Times New Roman"/>
          <w:b/>
          <w:bCs/>
        </w:rPr>
      </w:pPr>
    </w:p>
    <w:p w14:paraId="6CB362CC" w14:textId="113353E4" w:rsidR="005F5470" w:rsidRPr="005F5470" w:rsidRDefault="001310C0" w:rsidP="004530BD">
      <w:pPr>
        <w:spacing w:line="360" w:lineRule="auto"/>
        <w:jc w:val="both"/>
        <w:rPr>
          <w:rFonts w:ascii="Times New Roman" w:hAnsi="Times New Roman" w:cs="Times New Roman" w:hint="eastAsia"/>
          <w:b/>
          <w:bCs/>
        </w:rPr>
      </w:pPr>
      <w:r w:rsidRPr="005F5470">
        <w:rPr>
          <w:rFonts w:ascii="Times New Roman" w:hAnsi="Times New Roman" w:cs="Times New Roman"/>
          <w:b/>
          <w:bCs/>
        </w:rPr>
        <w:t>Line 95: The 7-12 cm sampling depth may not capture the full root profile, especially for deep-rooted species like </w:t>
      </w:r>
      <w:r w:rsidRPr="005F5470">
        <w:rPr>
          <w:rFonts w:ascii="Times New Roman" w:hAnsi="Times New Roman" w:cs="Times New Roman"/>
          <w:b/>
          <w:bCs/>
          <w:i/>
          <w:iCs/>
        </w:rPr>
        <w:t>switchgrass</w:t>
      </w:r>
      <w:r w:rsidRPr="005F5470">
        <w:rPr>
          <w:rFonts w:ascii="Times New Roman" w:hAnsi="Times New Roman" w:cs="Times New Roman"/>
          <w:b/>
          <w:bCs/>
        </w:rPr>
        <w:t>. Justification for this depth is needed.</w:t>
      </w:r>
    </w:p>
    <w:p w14:paraId="466616EC" w14:textId="77777777" w:rsidR="00866B37" w:rsidRDefault="005F5470" w:rsidP="004530BD">
      <w:pPr>
        <w:pStyle w:val="a6"/>
        <w:numPr>
          <w:ilvl w:val="0"/>
          <w:numId w:val="1"/>
        </w:numPr>
        <w:spacing w:line="360" w:lineRule="auto"/>
        <w:jc w:val="both"/>
        <w:rPr>
          <w:rFonts w:ascii="Times New Roman" w:hAnsi="Times New Roman" w:cs="Times New Roman"/>
        </w:rPr>
      </w:pPr>
      <w:r w:rsidRPr="005F5470">
        <w:rPr>
          <w:rFonts w:ascii="Times New Roman" w:hAnsi="Times New Roman" w:cs="Times New Roman"/>
        </w:rPr>
        <w:t xml:space="preserve">We </w:t>
      </w:r>
      <w:r w:rsidR="003B2582">
        <w:rPr>
          <w:rFonts w:ascii="Times New Roman" w:hAnsi="Times New Roman" w:cs="Times New Roman" w:hint="eastAsia"/>
        </w:rPr>
        <w:t xml:space="preserve">have planned </w:t>
      </w:r>
      <w:r w:rsidRPr="005F5470">
        <w:rPr>
          <w:rFonts w:ascii="Times New Roman" w:hAnsi="Times New Roman" w:cs="Times New Roman"/>
        </w:rPr>
        <w:t>to characteri</w:t>
      </w:r>
      <w:r>
        <w:rPr>
          <w:rFonts w:ascii="Times New Roman" w:hAnsi="Times New Roman" w:cs="Times New Roman" w:hint="eastAsia"/>
        </w:rPr>
        <w:t>z</w:t>
      </w:r>
      <w:r w:rsidRPr="005F5470">
        <w:rPr>
          <w:rFonts w:ascii="Times New Roman" w:hAnsi="Times New Roman" w:cs="Times New Roman"/>
        </w:rPr>
        <w:t xml:space="preserve">e pore architecture across depth, particularly given the deep-rooting habit of species such as switchgrass. Unfortunately, high-resolution X-ray CT profiling at multiple depths is resource-intensive, and our funding did not permit comprehensive vertical imaging. We therefore focused on the topsoil interval (7–12 cm), which captures </w:t>
      </w:r>
      <w:r w:rsidR="00473B94">
        <w:rPr>
          <w:rFonts w:ascii="Times New Roman" w:hAnsi="Times New Roman" w:cs="Times New Roman" w:hint="eastAsia"/>
        </w:rPr>
        <w:t xml:space="preserve">topsoil </w:t>
      </w:r>
      <w:r w:rsidRPr="005F5470">
        <w:rPr>
          <w:rFonts w:ascii="Times New Roman" w:hAnsi="Times New Roman" w:cs="Times New Roman"/>
        </w:rPr>
        <w:t xml:space="preserve">where fine roots are most abundant and dynamic, and where root-derived C inputs and associated microbial activity are known to be highest. This interval also falls within standard grassland sampling practices (e.g., 0–10 or </w:t>
      </w:r>
      <w:r w:rsidR="005E20AE">
        <w:rPr>
          <w:rFonts w:ascii="Times New Roman" w:hAnsi="Times New Roman" w:cs="Times New Roman" w:hint="eastAsia"/>
        </w:rPr>
        <w:t>10</w:t>
      </w:r>
      <w:r w:rsidRPr="005F5470">
        <w:rPr>
          <w:rFonts w:ascii="Times New Roman" w:hAnsi="Times New Roman" w:cs="Times New Roman"/>
        </w:rPr>
        <w:t>–</w:t>
      </w:r>
      <w:r w:rsidR="005E20AE">
        <w:rPr>
          <w:rFonts w:ascii="Times New Roman" w:hAnsi="Times New Roman" w:cs="Times New Roman" w:hint="eastAsia"/>
        </w:rPr>
        <w:t>30</w:t>
      </w:r>
      <w:r w:rsidRPr="005F5470">
        <w:rPr>
          <w:rFonts w:ascii="Times New Roman" w:hAnsi="Times New Roman" w:cs="Times New Roman"/>
        </w:rPr>
        <w:t xml:space="preserve"> cm coring), facilitating comparability with prior studies while targeting the layer most sensitive to changes in root activity and </w:t>
      </w:r>
      <w:r w:rsidR="00BD0419">
        <w:rPr>
          <w:rFonts w:ascii="Times New Roman" w:hAnsi="Times New Roman" w:cs="Times New Roman" w:hint="eastAsia"/>
        </w:rPr>
        <w:t xml:space="preserve">expectedly, </w:t>
      </w:r>
      <w:proofErr w:type="spellStart"/>
      <w:r w:rsidRPr="005F5470">
        <w:rPr>
          <w:rFonts w:ascii="Times New Roman" w:hAnsi="Times New Roman" w:cs="Times New Roman"/>
        </w:rPr>
        <w:t>biopore</w:t>
      </w:r>
      <w:proofErr w:type="spellEnd"/>
      <w:r w:rsidRPr="005F5470">
        <w:rPr>
          <w:rFonts w:ascii="Times New Roman" w:hAnsi="Times New Roman" w:cs="Times New Roman"/>
        </w:rPr>
        <w:t xml:space="preserve"> formation. </w:t>
      </w:r>
    </w:p>
    <w:p w14:paraId="302811BE" w14:textId="59E86A49" w:rsidR="00866B37" w:rsidRPr="00E531B1" w:rsidRDefault="005F5470" w:rsidP="004530BD">
      <w:pPr>
        <w:pStyle w:val="a6"/>
        <w:spacing w:line="360" w:lineRule="auto"/>
        <w:ind w:left="800"/>
        <w:jc w:val="both"/>
        <w:rPr>
          <w:rFonts w:ascii="Times New Roman" w:hAnsi="Times New Roman" w:cs="Times New Roman"/>
        </w:rPr>
      </w:pPr>
      <w:r w:rsidRPr="005F5470">
        <w:rPr>
          <w:rFonts w:ascii="Times New Roman" w:hAnsi="Times New Roman" w:cs="Times New Roman"/>
        </w:rPr>
        <w:t xml:space="preserve">We agree that deeper horizons may host additional </w:t>
      </w:r>
      <w:proofErr w:type="spellStart"/>
      <w:r w:rsidRPr="005F5470">
        <w:rPr>
          <w:rFonts w:ascii="Times New Roman" w:hAnsi="Times New Roman" w:cs="Times New Roman"/>
        </w:rPr>
        <w:t>biopore</w:t>
      </w:r>
      <w:proofErr w:type="spellEnd"/>
      <w:r w:rsidRPr="005F5470">
        <w:rPr>
          <w:rFonts w:ascii="Times New Roman" w:hAnsi="Times New Roman" w:cs="Times New Roman"/>
        </w:rPr>
        <w:t xml:space="preserve"> development in deep-rooted taxa, and we note this as an important avenue for future work when resources allow. </w:t>
      </w:r>
      <w:r w:rsidR="00866B37">
        <w:rPr>
          <w:rFonts w:ascii="Times New Roman" w:hAnsi="Times New Roman" w:cs="Times New Roman" w:hint="eastAsia"/>
        </w:rPr>
        <w:t xml:space="preserve">We added a short sentence for </w:t>
      </w:r>
      <w:r w:rsidR="00985374">
        <w:rPr>
          <w:rFonts w:ascii="Times New Roman" w:hAnsi="Times New Roman" w:cs="Times New Roman" w:hint="eastAsia"/>
        </w:rPr>
        <w:t>justification</w:t>
      </w:r>
      <w:r w:rsidR="00E531B1">
        <w:rPr>
          <w:rFonts w:ascii="Times New Roman" w:hAnsi="Times New Roman" w:cs="Times New Roman" w:hint="eastAsia"/>
        </w:rPr>
        <w:t xml:space="preserve"> as follows:</w:t>
      </w:r>
    </w:p>
    <w:p w14:paraId="183F0638" w14:textId="0593D077" w:rsidR="002707E8" w:rsidRDefault="006012A6" w:rsidP="004530BD">
      <w:pPr>
        <w:pStyle w:val="a6"/>
        <w:spacing w:line="360" w:lineRule="auto"/>
        <w:ind w:left="800"/>
        <w:jc w:val="both"/>
        <w:rPr>
          <w:rFonts w:ascii="Times New Roman" w:hAnsi="Times New Roman" w:cs="Times New Roman" w:hint="eastAsia"/>
        </w:rPr>
      </w:pPr>
      <w:r>
        <w:rPr>
          <w:rFonts w:ascii="Times New Roman" w:hAnsi="Times New Roman" w:cs="Times New Roman"/>
        </w:rPr>
        <w:t>“</w:t>
      </w:r>
      <w:r w:rsidR="00E5728F" w:rsidRPr="00E5728F">
        <w:rPr>
          <w:rFonts w:ascii="Times New Roman" w:hAnsi="Times New Roman" w:cs="Times New Roman"/>
        </w:rPr>
        <w:t>This depth encompasses the zone of greatest fine-root abundance and turnover, where root-derived C inputs and microbial activity are most pronounced (Halli et al., 2022; Roosendaal et al., 2016).</w:t>
      </w:r>
      <w:r w:rsidR="00544989">
        <w:rPr>
          <w:rFonts w:ascii="Times New Roman" w:hAnsi="Times New Roman" w:cs="Times New Roman"/>
        </w:rPr>
        <w:t>”</w:t>
      </w:r>
      <w:r w:rsidR="00501DB4">
        <w:rPr>
          <w:rFonts w:ascii="Times New Roman" w:hAnsi="Times New Roman" w:cs="Times New Roman" w:hint="eastAsia"/>
        </w:rPr>
        <w:t xml:space="preserve"> (Lines 115-117 in the revised </w:t>
      </w:r>
      <w:r w:rsidR="00501DB4">
        <w:rPr>
          <w:rFonts w:ascii="Times New Roman" w:hAnsi="Times New Roman" w:cs="Times New Roman"/>
        </w:rPr>
        <w:t>manuscript</w:t>
      </w:r>
      <w:r w:rsidR="00501DB4">
        <w:rPr>
          <w:rFonts w:ascii="Times New Roman" w:hAnsi="Times New Roman" w:cs="Times New Roman" w:hint="eastAsia"/>
        </w:rPr>
        <w:t>)</w:t>
      </w:r>
    </w:p>
    <w:p w14:paraId="6DEE303C" w14:textId="77777777" w:rsidR="00544989" w:rsidRPr="0027030A" w:rsidRDefault="00544989" w:rsidP="004530BD">
      <w:pPr>
        <w:pStyle w:val="a6"/>
        <w:spacing w:line="360" w:lineRule="auto"/>
        <w:ind w:left="800"/>
        <w:jc w:val="both"/>
        <w:rPr>
          <w:rFonts w:ascii="Times New Roman" w:hAnsi="Times New Roman" w:cs="Times New Roman"/>
        </w:rPr>
      </w:pPr>
    </w:p>
    <w:p w14:paraId="7EE5647A" w14:textId="5781E2C4" w:rsidR="001310C0" w:rsidRPr="002707E8" w:rsidRDefault="001310C0" w:rsidP="004530BD">
      <w:pPr>
        <w:spacing w:line="360" w:lineRule="auto"/>
        <w:jc w:val="both"/>
        <w:rPr>
          <w:rFonts w:ascii="Times New Roman" w:hAnsi="Times New Roman" w:cs="Times New Roman"/>
          <w:b/>
          <w:bCs/>
        </w:rPr>
      </w:pPr>
      <w:r w:rsidRPr="002707E8">
        <w:rPr>
          <w:rFonts w:ascii="Times New Roman" w:hAnsi="Times New Roman" w:cs="Times New Roman"/>
          <w:b/>
          <w:bCs/>
        </w:rPr>
        <w:t>Line 104: The term “soil total C” is used in Methods, but “SOC” is used elsewhere. Ensure consistency</w:t>
      </w:r>
      <w:r w:rsidR="005A219F" w:rsidRPr="002707E8">
        <w:rPr>
          <w:rFonts w:ascii="Times New Roman" w:hAnsi="Times New Roman" w:cs="Times New Roman"/>
          <w:b/>
          <w:bCs/>
        </w:rPr>
        <w:t>.</w:t>
      </w:r>
    </w:p>
    <w:p w14:paraId="74D4FCFC" w14:textId="548EA10F" w:rsidR="005A219F" w:rsidRPr="005041F6" w:rsidRDefault="007B732F" w:rsidP="004530BD">
      <w:pPr>
        <w:pStyle w:val="a6"/>
        <w:numPr>
          <w:ilvl w:val="0"/>
          <w:numId w:val="1"/>
        </w:numPr>
        <w:spacing w:line="360" w:lineRule="auto"/>
        <w:jc w:val="both"/>
        <w:rPr>
          <w:rFonts w:ascii="Times New Roman" w:hAnsi="Times New Roman" w:cs="Times New Roman"/>
        </w:rPr>
      </w:pPr>
      <w:r w:rsidRPr="005041F6">
        <w:rPr>
          <w:rFonts w:ascii="Times New Roman" w:hAnsi="Times New Roman" w:cs="Times New Roman"/>
        </w:rPr>
        <w:t>We revised the inconsistency</w:t>
      </w:r>
      <w:r w:rsidR="005041F6" w:rsidRPr="005041F6">
        <w:rPr>
          <w:rFonts w:ascii="Times New Roman" w:hAnsi="Times New Roman" w:cs="Times New Roman"/>
        </w:rPr>
        <w:t xml:space="preserve"> in this sentence and</w:t>
      </w:r>
      <w:r w:rsidRPr="005041F6">
        <w:rPr>
          <w:rFonts w:ascii="Times New Roman" w:hAnsi="Times New Roman" w:cs="Times New Roman"/>
        </w:rPr>
        <w:t xml:space="preserve"> throughout the manuscript. </w:t>
      </w:r>
    </w:p>
    <w:p w14:paraId="00CF5C45" w14:textId="1A21535D" w:rsidR="005041F6" w:rsidRPr="005041F6" w:rsidRDefault="005041F6" w:rsidP="004530BD">
      <w:pPr>
        <w:pStyle w:val="a6"/>
        <w:spacing w:line="360" w:lineRule="auto"/>
        <w:ind w:left="800"/>
        <w:jc w:val="both"/>
        <w:rPr>
          <w:rFonts w:ascii="Times New Roman" w:hAnsi="Times New Roman" w:cs="Times New Roman"/>
        </w:rPr>
      </w:pPr>
      <w:r w:rsidRPr="005041F6">
        <w:rPr>
          <w:rFonts w:ascii="Times New Roman" w:hAnsi="Times New Roman" w:cs="Times New Roman"/>
        </w:rPr>
        <w:t>“SOC and total soil N were measured by combustion…” (Line 1</w:t>
      </w:r>
      <w:r w:rsidR="00EC2077">
        <w:rPr>
          <w:rFonts w:ascii="Times New Roman" w:hAnsi="Times New Roman" w:cs="Times New Roman" w:hint="eastAsia"/>
        </w:rPr>
        <w:t>30</w:t>
      </w:r>
      <w:r w:rsidRPr="005041F6">
        <w:rPr>
          <w:rFonts w:ascii="Times New Roman" w:hAnsi="Times New Roman" w:cs="Times New Roman"/>
        </w:rPr>
        <w:t xml:space="preserve"> in the revised manuscript)</w:t>
      </w:r>
    </w:p>
    <w:p w14:paraId="414CA9A3" w14:textId="77777777" w:rsidR="001310C0" w:rsidRDefault="001310C0" w:rsidP="004530BD">
      <w:pPr>
        <w:spacing w:line="360" w:lineRule="auto"/>
        <w:jc w:val="both"/>
        <w:rPr>
          <w:rFonts w:ascii="Times New Roman" w:hAnsi="Times New Roman" w:cs="Times New Roman"/>
          <w:b/>
          <w:bCs/>
        </w:rPr>
      </w:pPr>
      <w:r w:rsidRPr="00672F63">
        <w:rPr>
          <w:rFonts w:ascii="Times New Roman" w:hAnsi="Times New Roman" w:cs="Times New Roman"/>
          <w:b/>
          <w:bCs/>
        </w:rPr>
        <w:lastRenderedPageBreak/>
        <w:t xml:space="preserve">Line 106: Is the water content of all treatments the same? Or should the original moisture content of each treatment be maintained? Has the evaporation of soil moisture been </w:t>
      </w:r>
      <w:proofErr w:type="gramStart"/>
      <w:r w:rsidRPr="00672F63">
        <w:rPr>
          <w:rFonts w:ascii="Times New Roman" w:hAnsi="Times New Roman" w:cs="Times New Roman"/>
          <w:b/>
          <w:bCs/>
        </w:rPr>
        <w:t>taken into account</w:t>
      </w:r>
      <w:proofErr w:type="gramEnd"/>
      <w:r w:rsidRPr="00672F63">
        <w:rPr>
          <w:rFonts w:ascii="Times New Roman" w:hAnsi="Times New Roman" w:cs="Times New Roman"/>
          <w:b/>
          <w:bCs/>
        </w:rPr>
        <w:t>? Is it necessary to weigh and replenish water daily?</w:t>
      </w:r>
    </w:p>
    <w:p w14:paraId="0CFA3397" w14:textId="258312E5" w:rsidR="00DD3C47" w:rsidRDefault="00B31CD5" w:rsidP="004530BD">
      <w:pPr>
        <w:pStyle w:val="a6"/>
        <w:numPr>
          <w:ilvl w:val="0"/>
          <w:numId w:val="1"/>
        </w:numPr>
        <w:spacing w:line="360" w:lineRule="auto"/>
        <w:jc w:val="both"/>
        <w:rPr>
          <w:rFonts w:ascii="Times New Roman" w:hAnsi="Times New Roman" w:cs="Times New Roman"/>
        </w:rPr>
      </w:pPr>
      <w:r w:rsidRPr="00DD3C47">
        <w:rPr>
          <w:rFonts w:ascii="Times New Roman" w:hAnsi="Times New Roman" w:cs="Times New Roman"/>
        </w:rPr>
        <w:t>As described in the manuscript, we maintained the same soil moisture across all treatments to standardi</w:t>
      </w:r>
      <w:r w:rsidR="005B7649">
        <w:rPr>
          <w:rFonts w:ascii="Times New Roman" w:hAnsi="Times New Roman" w:cs="Times New Roman" w:hint="eastAsia"/>
        </w:rPr>
        <w:t>z</w:t>
      </w:r>
      <w:r w:rsidRPr="00DD3C47">
        <w:rPr>
          <w:rFonts w:ascii="Times New Roman" w:hAnsi="Times New Roman" w:cs="Times New Roman"/>
        </w:rPr>
        <w:t>e the incubation environment. Our objective was not to reproduce field minerali</w:t>
      </w:r>
      <w:r w:rsidR="005B7649">
        <w:rPr>
          <w:rFonts w:ascii="Times New Roman" w:hAnsi="Times New Roman" w:cs="Times New Roman" w:hint="eastAsia"/>
        </w:rPr>
        <w:t>z</w:t>
      </w:r>
      <w:r w:rsidRPr="00DD3C47">
        <w:rPr>
          <w:rFonts w:ascii="Times New Roman" w:hAnsi="Times New Roman" w:cs="Times New Roman"/>
        </w:rPr>
        <w:t xml:space="preserve">ation dynamics (which would be more appropriately addressed </w:t>
      </w:r>
      <w:r w:rsidR="00A60698">
        <w:rPr>
          <w:rFonts w:ascii="Times New Roman" w:hAnsi="Times New Roman" w:cs="Times New Roman" w:hint="eastAsia"/>
        </w:rPr>
        <w:t>using</w:t>
      </w:r>
      <w:r w:rsidRPr="00DD3C47">
        <w:rPr>
          <w:rFonts w:ascii="Times New Roman" w:hAnsi="Times New Roman" w:cs="Times New Roman"/>
        </w:rPr>
        <w:t xml:space="preserve"> </w:t>
      </w:r>
      <w:r w:rsidR="00A60698" w:rsidRPr="00A60698">
        <w:rPr>
          <w:rFonts w:ascii="Times New Roman" w:hAnsi="Times New Roman" w:cs="Times New Roman" w:hint="eastAsia"/>
          <w:i/>
          <w:iCs/>
        </w:rPr>
        <w:t xml:space="preserve">in </w:t>
      </w:r>
      <w:r w:rsidRPr="00A60698">
        <w:rPr>
          <w:rFonts w:ascii="Times New Roman" w:hAnsi="Times New Roman" w:cs="Times New Roman"/>
          <w:i/>
          <w:iCs/>
        </w:rPr>
        <w:t>situ</w:t>
      </w:r>
      <w:r w:rsidRPr="00DD3C47">
        <w:rPr>
          <w:rFonts w:ascii="Times New Roman" w:hAnsi="Times New Roman" w:cs="Times New Roman"/>
        </w:rPr>
        <w:t xml:space="preserve"> chambers), but rather to compare relative C availability and microbial activity among soils under controlled conditions. For this reason, holding moisture constant across treatments was essential.</w:t>
      </w:r>
      <w:r w:rsidR="002549AA">
        <w:rPr>
          <w:rFonts w:ascii="Times New Roman" w:hAnsi="Times New Roman" w:cs="Times New Roman" w:hint="eastAsia"/>
        </w:rPr>
        <w:t xml:space="preserve"> </w:t>
      </w:r>
      <w:r w:rsidR="00210A3D">
        <w:rPr>
          <w:rFonts w:ascii="Times New Roman" w:hAnsi="Times New Roman" w:cs="Times New Roman" w:hint="eastAsia"/>
        </w:rPr>
        <w:t xml:space="preserve">We </w:t>
      </w:r>
      <w:r w:rsidR="00210A3D">
        <w:rPr>
          <w:rFonts w:ascii="Times New Roman" w:hAnsi="Times New Roman" w:cs="Times New Roman"/>
        </w:rPr>
        <w:t>believe</w:t>
      </w:r>
      <w:r w:rsidR="00210A3D">
        <w:rPr>
          <w:rFonts w:ascii="Times New Roman" w:hAnsi="Times New Roman" w:cs="Times New Roman" w:hint="eastAsia"/>
        </w:rPr>
        <w:t xml:space="preserve"> it is widely accepted method to </w:t>
      </w:r>
      <w:r w:rsidR="00F4179B">
        <w:rPr>
          <w:rFonts w:ascii="Times New Roman" w:hAnsi="Times New Roman" w:cs="Times New Roman" w:hint="eastAsia"/>
        </w:rPr>
        <w:t>evaluate treatment effects.</w:t>
      </w:r>
    </w:p>
    <w:p w14:paraId="5BDC29B9" w14:textId="2E543BCA" w:rsidR="00DD3C47" w:rsidRPr="00DD3C47" w:rsidRDefault="00B31CD5" w:rsidP="004530BD">
      <w:pPr>
        <w:pStyle w:val="a6"/>
        <w:spacing w:line="360" w:lineRule="auto"/>
        <w:ind w:left="800"/>
        <w:jc w:val="both"/>
        <w:rPr>
          <w:rFonts w:ascii="Times New Roman" w:hAnsi="Times New Roman" w:cs="Times New Roman"/>
        </w:rPr>
      </w:pPr>
      <w:r w:rsidRPr="00DD3C47">
        <w:rPr>
          <w:rFonts w:ascii="Times New Roman" w:hAnsi="Times New Roman" w:cs="Times New Roman"/>
        </w:rPr>
        <w:t>To address potential evaporation, we placed approximately 5 mL of purified water at the bottom of each incubation vessel to maintain a humid microenvironment and minimi</w:t>
      </w:r>
      <w:r w:rsidR="00DD3C47">
        <w:rPr>
          <w:rFonts w:ascii="Times New Roman" w:hAnsi="Times New Roman" w:cs="Times New Roman" w:hint="eastAsia"/>
        </w:rPr>
        <w:t>z</w:t>
      </w:r>
      <w:r w:rsidRPr="00DD3C47">
        <w:rPr>
          <w:rFonts w:ascii="Times New Roman" w:hAnsi="Times New Roman" w:cs="Times New Roman"/>
        </w:rPr>
        <w:t>e moisture loss from the samples</w:t>
      </w:r>
      <w:r w:rsidR="008C0230">
        <w:rPr>
          <w:rFonts w:ascii="Times New Roman" w:hAnsi="Times New Roman" w:cs="Times New Roman" w:hint="eastAsia"/>
        </w:rPr>
        <w:t xml:space="preserve"> (Lines 104-106 in the revised manuscript)</w:t>
      </w:r>
      <w:r w:rsidRPr="00DD3C47">
        <w:rPr>
          <w:rFonts w:ascii="Times New Roman" w:hAnsi="Times New Roman" w:cs="Times New Roman"/>
        </w:rPr>
        <w:t xml:space="preserve">. Under these conditions, evaporation was negligible, and it was not necessary to weigh and replenish water daily. </w:t>
      </w:r>
    </w:p>
    <w:p w14:paraId="30E35D3D" w14:textId="77777777" w:rsidR="00DD3C47" w:rsidRDefault="00DD3C47" w:rsidP="004530BD">
      <w:pPr>
        <w:spacing w:line="360" w:lineRule="auto"/>
        <w:jc w:val="both"/>
        <w:rPr>
          <w:rFonts w:ascii="Times New Roman" w:hAnsi="Times New Roman" w:cs="Times New Roman"/>
        </w:rPr>
      </w:pPr>
    </w:p>
    <w:p w14:paraId="35149BDF" w14:textId="151A66B8" w:rsidR="001310C0" w:rsidRDefault="001310C0" w:rsidP="004530BD">
      <w:pPr>
        <w:spacing w:line="360" w:lineRule="auto"/>
        <w:jc w:val="both"/>
        <w:rPr>
          <w:rFonts w:ascii="Times New Roman" w:hAnsi="Times New Roman" w:cs="Times New Roman"/>
          <w:b/>
          <w:bCs/>
        </w:rPr>
      </w:pPr>
      <w:r w:rsidRPr="001422F4">
        <w:rPr>
          <w:rFonts w:ascii="Times New Roman" w:hAnsi="Times New Roman" w:cs="Times New Roman"/>
          <w:b/>
          <w:bCs/>
        </w:rPr>
        <w:t>Lines 138-141: The functional richness calculation method claims support from Mangan et al. (2011) and Spiesman et al. (2018), but these studies do not explicitly use the same method. Please provide a clearer rationale or additional citations.</w:t>
      </w:r>
    </w:p>
    <w:p w14:paraId="4FB6DEB4" w14:textId="23295F8C" w:rsidR="0038006F" w:rsidRPr="00A26457" w:rsidRDefault="008F61B9" w:rsidP="004530BD">
      <w:pPr>
        <w:pStyle w:val="a6"/>
        <w:numPr>
          <w:ilvl w:val="0"/>
          <w:numId w:val="1"/>
        </w:numPr>
        <w:spacing w:line="360" w:lineRule="auto"/>
        <w:jc w:val="both"/>
        <w:rPr>
          <w:rFonts w:ascii="Times New Roman" w:hAnsi="Times New Roman" w:cs="Times New Roman"/>
          <w:b/>
          <w:bCs/>
        </w:rPr>
      </w:pPr>
      <w:r w:rsidRPr="00A26457">
        <w:rPr>
          <w:rFonts w:ascii="Times New Roman" w:hAnsi="Times New Roman" w:cs="Times New Roman" w:hint="eastAsia"/>
        </w:rPr>
        <w:t>We argue that ou</w:t>
      </w:r>
      <w:r w:rsidR="00761C9A" w:rsidRPr="00A26457">
        <w:rPr>
          <w:rFonts w:ascii="Times New Roman" w:hAnsi="Times New Roman" w:cs="Times New Roman" w:hint="eastAsia"/>
        </w:rPr>
        <w:t xml:space="preserve">r categorization for plant functional groups </w:t>
      </w:r>
      <w:r w:rsidR="00D4624F" w:rsidRPr="00A26457">
        <w:rPr>
          <w:rFonts w:ascii="Times New Roman" w:hAnsi="Times New Roman" w:cs="Times New Roman"/>
        </w:rPr>
        <w:t>is</w:t>
      </w:r>
      <w:r w:rsidR="00761C9A" w:rsidRPr="00A26457">
        <w:rPr>
          <w:rFonts w:ascii="Times New Roman" w:hAnsi="Times New Roman" w:cs="Times New Roman" w:hint="eastAsia"/>
        </w:rPr>
        <w:t xml:space="preserve"> well </w:t>
      </w:r>
      <w:r w:rsidR="00761C9A" w:rsidRPr="00A26457">
        <w:rPr>
          <w:rFonts w:ascii="Times New Roman" w:hAnsi="Times New Roman" w:cs="Times New Roman"/>
        </w:rPr>
        <w:t>supported</w:t>
      </w:r>
      <w:r w:rsidR="00761C9A" w:rsidRPr="00A26457">
        <w:rPr>
          <w:rFonts w:ascii="Times New Roman" w:hAnsi="Times New Roman" w:cs="Times New Roman" w:hint="eastAsia"/>
        </w:rPr>
        <w:t xml:space="preserve"> by reference literature. </w:t>
      </w:r>
      <w:r w:rsidR="00083587" w:rsidRPr="00A26457">
        <w:rPr>
          <w:rFonts w:ascii="Times New Roman" w:hAnsi="Times New Roman" w:cs="Times New Roman" w:hint="eastAsia"/>
        </w:rPr>
        <w:t>Spiesman et al</w:t>
      </w:r>
      <w:r w:rsidRPr="00A26457">
        <w:rPr>
          <w:rFonts w:ascii="Times New Roman" w:hAnsi="Times New Roman" w:cs="Times New Roman" w:hint="eastAsia"/>
        </w:rPr>
        <w:t>.</w:t>
      </w:r>
      <w:r w:rsidR="00083587" w:rsidRPr="00A26457">
        <w:rPr>
          <w:rFonts w:ascii="Times New Roman" w:hAnsi="Times New Roman" w:cs="Times New Roman" w:hint="eastAsia"/>
        </w:rPr>
        <w:t xml:space="preserve"> (2018) uses grass functional groups as C3 and C4 grass. Mangan et al. (2011) used grasses, legumes, and forbs. </w:t>
      </w:r>
      <w:r w:rsidR="00157F7B" w:rsidRPr="00A26457">
        <w:rPr>
          <w:rFonts w:ascii="Times New Roman" w:hAnsi="Times New Roman" w:cs="Times New Roman" w:hint="eastAsia"/>
        </w:rPr>
        <w:t xml:space="preserve">Since our </w:t>
      </w:r>
      <w:r w:rsidR="00157F7B" w:rsidRPr="00A26457">
        <w:rPr>
          <w:rFonts w:ascii="Times New Roman" w:hAnsi="Times New Roman" w:cs="Times New Roman"/>
        </w:rPr>
        <w:t>experiment</w:t>
      </w:r>
      <w:r w:rsidR="00157F7B" w:rsidRPr="00A26457">
        <w:rPr>
          <w:rFonts w:ascii="Times New Roman" w:hAnsi="Times New Roman" w:cs="Times New Roman" w:hint="eastAsia"/>
        </w:rPr>
        <w:t xml:space="preserve"> </w:t>
      </w:r>
      <w:r w:rsidR="00761C9A" w:rsidRPr="00A26457">
        <w:rPr>
          <w:rFonts w:ascii="Times New Roman" w:hAnsi="Times New Roman" w:cs="Times New Roman"/>
        </w:rPr>
        <w:t>does</w:t>
      </w:r>
      <w:r w:rsidR="00157F7B" w:rsidRPr="00A26457">
        <w:rPr>
          <w:rFonts w:ascii="Times New Roman" w:hAnsi="Times New Roman" w:cs="Times New Roman" w:hint="eastAsia"/>
        </w:rPr>
        <w:t xml:space="preserve"> not include legumes in plant species, it is reasonable to use grasses </w:t>
      </w:r>
      <w:r w:rsidR="00761C9A" w:rsidRPr="00A26457">
        <w:rPr>
          <w:rFonts w:ascii="Times New Roman" w:hAnsi="Times New Roman" w:cs="Times New Roman" w:hint="eastAsia"/>
        </w:rPr>
        <w:t xml:space="preserve">(C3 and C4) </w:t>
      </w:r>
      <w:r w:rsidR="00157F7B" w:rsidRPr="00A26457">
        <w:rPr>
          <w:rFonts w:ascii="Times New Roman" w:hAnsi="Times New Roman" w:cs="Times New Roman" w:hint="eastAsia"/>
        </w:rPr>
        <w:t>and forbs</w:t>
      </w:r>
      <w:r w:rsidR="00761C9A" w:rsidRPr="00A26457">
        <w:rPr>
          <w:rFonts w:ascii="Times New Roman" w:hAnsi="Times New Roman" w:cs="Times New Roman" w:hint="eastAsia"/>
        </w:rPr>
        <w:t>.</w:t>
      </w:r>
      <w:r w:rsidR="007A6E18" w:rsidRPr="00A26457">
        <w:rPr>
          <w:rFonts w:ascii="Times New Roman" w:hAnsi="Times New Roman" w:cs="Times New Roman" w:hint="eastAsia"/>
        </w:rPr>
        <w:t xml:space="preserve"> </w:t>
      </w:r>
      <w:r w:rsidR="00D4624F" w:rsidRPr="00A26457">
        <w:rPr>
          <w:rFonts w:ascii="Times New Roman" w:hAnsi="Times New Roman" w:cs="Times New Roman" w:hint="eastAsia"/>
        </w:rPr>
        <w:t xml:space="preserve">We provided </w:t>
      </w:r>
      <w:r w:rsidR="00BF1270" w:rsidRPr="00A26457">
        <w:rPr>
          <w:rFonts w:ascii="Times New Roman" w:hAnsi="Times New Roman" w:cs="Times New Roman" w:hint="eastAsia"/>
        </w:rPr>
        <w:t xml:space="preserve">an </w:t>
      </w:r>
      <w:r w:rsidR="00A20CAC" w:rsidRPr="00A26457">
        <w:rPr>
          <w:rFonts w:ascii="Times New Roman" w:hAnsi="Times New Roman" w:cs="Times New Roman" w:hint="eastAsia"/>
        </w:rPr>
        <w:t>additional</w:t>
      </w:r>
      <w:r w:rsidR="00D4624F" w:rsidRPr="00A26457">
        <w:rPr>
          <w:rFonts w:ascii="Times New Roman" w:hAnsi="Times New Roman" w:cs="Times New Roman" w:hint="eastAsia"/>
        </w:rPr>
        <w:t xml:space="preserve"> </w:t>
      </w:r>
      <w:r w:rsidR="00FB4373" w:rsidRPr="00A26457">
        <w:rPr>
          <w:rFonts w:ascii="Times New Roman" w:hAnsi="Times New Roman" w:cs="Times New Roman"/>
        </w:rPr>
        <w:t>reference</w:t>
      </w:r>
      <w:r w:rsidR="00D4624F" w:rsidRPr="00A26457">
        <w:rPr>
          <w:rFonts w:ascii="Times New Roman" w:hAnsi="Times New Roman" w:cs="Times New Roman" w:hint="eastAsia"/>
        </w:rPr>
        <w:t xml:space="preserve"> from Tilman et al. (2006) in which plant functiona</w:t>
      </w:r>
      <w:r w:rsidR="00C239A5" w:rsidRPr="00A26457">
        <w:rPr>
          <w:rFonts w:ascii="Times New Roman" w:hAnsi="Times New Roman" w:cs="Times New Roman" w:hint="eastAsia"/>
        </w:rPr>
        <w:t xml:space="preserve">l groups were categorized as </w:t>
      </w:r>
      <w:r w:rsidR="00C239A5" w:rsidRPr="00A26457">
        <w:rPr>
          <w:rFonts w:ascii="Times New Roman" w:hAnsi="Times New Roman" w:cs="Times New Roman"/>
        </w:rPr>
        <w:t>C3 grasses, C4 grasses, legumes or non-legume forbs</w:t>
      </w:r>
      <w:r w:rsidR="00AA4E6E" w:rsidRPr="00A26457">
        <w:rPr>
          <w:rFonts w:ascii="Times New Roman" w:hAnsi="Times New Roman" w:cs="Times New Roman" w:hint="eastAsia"/>
        </w:rPr>
        <w:t xml:space="preserve">. </w:t>
      </w:r>
    </w:p>
    <w:p w14:paraId="72AC82B0" w14:textId="77777777" w:rsidR="001310C0" w:rsidRPr="001310C0" w:rsidRDefault="001310C0" w:rsidP="004530BD">
      <w:pPr>
        <w:spacing w:line="360" w:lineRule="auto"/>
        <w:jc w:val="both"/>
        <w:rPr>
          <w:rFonts w:ascii="Times New Roman" w:hAnsi="Times New Roman" w:cs="Times New Roman"/>
        </w:rPr>
      </w:pPr>
      <w:r w:rsidRPr="001310C0">
        <w:rPr>
          <w:rFonts w:ascii="Times New Roman" w:hAnsi="Times New Roman" w:cs="Times New Roman"/>
          <w:b/>
          <w:bCs/>
        </w:rPr>
        <w:t>Results</w:t>
      </w:r>
    </w:p>
    <w:p w14:paraId="5F1EA17B" w14:textId="77777777" w:rsidR="001310C0" w:rsidRDefault="001310C0" w:rsidP="004530BD">
      <w:pPr>
        <w:spacing w:line="360" w:lineRule="auto"/>
        <w:jc w:val="both"/>
        <w:rPr>
          <w:rFonts w:ascii="Times New Roman" w:hAnsi="Times New Roman" w:cs="Times New Roman"/>
          <w:b/>
          <w:bCs/>
        </w:rPr>
      </w:pPr>
      <w:r w:rsidRPr="00ED531B">
        <w:rPr>
          <w:rFonts w:ascii="Times New Roman" w:hAnsi="Times New Roman" w:cs="Times New Roman"/>
          <w:b/>
          <w:bCs/>
        </w:rPr>
        <w:t>Line 166: The lack of correlation between aboveground biomass and SOC may be due to a temporal mismatch. SOC was measured in 2019, while biomass data came from 2018-2019. Aligning the data temporally or discussing this discrepancy is important.</w:t>
      </w:r>
    </w:p>
    <w:p w14:paraId="1FF729F3" w14:textId="67537621" w:rsidR="00A70D1E" w:rsidRPr="00A70D1E" w:rsidRDefault="000D2AE1" w:rsidP="004530BD">
      <w:pPr>
        <w:pStyle w:val="a6"/>
        <w:numPr>
          <w:ilvl w:val="0"/>
          <w:numId w:val="1"/>
        </w:numPr>
        <w:spacing w:line="360" w:lineRule="auto"/>
        <w:jc w:val="both"/>
        <w:rPr>
          <w:rFonts w:ascii="Times New Roman" w:hAnsi="Times New Roman" w:cs="Times New Roman"/>
          <w:b/>
          <w:bCs/>
        </w:rPr>
      </w:pPr>
      <w:r>
        <w:rPr>
          <w:rFonts w:ascii="Times New Roman" w:hAnsi="Times New Roman" w:cs="Times New Roman" w:hint="eastAsia"/>
        </w:rPr>
        <w:t>Thank you for your valuable comment. W</w:t>
      </w:r>
      <w:r w:rsidR="00925FE4">
        <w:rPr>
          <w:rFonts w:ascii="Times New Roman" w:hAnsi="Times New Roman" w:cs="Times New Roman" w:hint="eastAsia"/>
        </w:rPr>
        <w:t xml:space="preserve">e </w:t>
      </w:r>
      <w:r w:rsidR="003D1C02">
        <w:rPr>
          <w:rFonts w:ascii="Times New Roman" w:hAnsi="Times New Roman" w:cs="Times New Roman" w:hint="eastAsia"/>
        </w:rPr>
        <w:t xml:space="preserve">provided a rationale for using biomass data </w:t>
      </w:r>
      <w:r w:rsidR="007F2745">
        <w:rPr>
          <w:rFonts w:ascii="Times New Roman" w:hAnsi="Times New Roman" w:cs="Times New Roman"/>
        </w:rPr>
        <w:t>for</w:t>
      </w:r>
      <w:r w:rsidR="003D1C02">
        <w:rPr>
          <w:rFonts w:ascii="Times New Roman" w:hAnsi="Times New Roman" w:cs="Times New Roman" w:hint="eastAsia"/>
        </w:rPr>
        <w:t xml:space="preserve"> 2018 and 2019</w:t>
      </w:r>
      <w:r w:rsidR="00A70D1E">
        <w:rPr>
          <w:rFonts w:ascii="Times New Roman" w:hAnsi="Times New Roman" w:cs="Times New Roman" w:hint="eastAsia"/>
        </w:rPr>
        <w:t xml:space="preserve"> as follows:</w:t>
      </w:r>
    </w:p>
    <w:p w14:paraId="6E996370" w14:textId="77777777" w:rsidR="008A268D" w:rsidRDefault="00A70D1E" w:rsidP="004530BD">
      <w:pPr>
        <w:pStyle w:val="a6"/>
        <w:spacing w:line="360" w:lineRule="auto"/>
        <w:ind w:left="800"/>
        <w:jc w:val="both"/>
        <w:rPr>
          <w:rFonts w:ascii="Times New Roman" w:hAnsi="Times New Roman" w:cs="Times New Roman"/>
        </w:rPr>
      </w:pPr>
      <w:r w:rsidRPr="00A70D1E">
        <w:rPr>
          <w:rFonts w:ascii="Times New Roman" w:hAnsi="Times New Roman" w:cs="Times New Roman"/>
        </w:rPr>
        <w:t>“</w:t>
      </w:r>
      <w:r w:rsidRPr="00A70D1E">
        <w:rPr>
          <w:rFonts w:ascii="Times New Roman" w:eastAsia="바탕" w:hAnsi="Times New Roman" w:cs="Times New Roman"/>
        </w:rPr>
        <w:t xml:space="preserve">For the present analysis, we used the 2018 and 2019 biomass datasets (Fig. S1b). Soil sampling for this study occurred in July 2019; thus, the 2019 fall biomass provides the most temporally proximate estimate of aboveground production for the soils analyzed, while the </w:t>
      </w:r>
      <w:r w:rsidRPr="00A70D1E">
        <w:rPr>
          <w:rFonts w:ascii="Times New Roman" w:eastAsia="바탕" w:hAnsi="Times New Roman" w:cs="Times New Roman"/>
        </w:rPr>
        <w:lastRenderedPageBreak/>
        <w:t>2018 biomass offers the preceding-year context and helps mitigate interannual variability.”</w:t>
      </w:r>
      <w:r w:rsidR="001E57E6" w:rsidRPr="00A70D1E">
        <w:rPr>
          <w:rFonts w:ascii="Times New Roman" w:hAnsi="Times New Roman" w:cs="Times New Roman"/>
        </w:rPr>
        <w:t xml:space="preserve"> </w:t>
      </w:r>
      <w:r w:rsidR="008A268D">
        <w:rPr>
          <w:rFonts w:ascii="Times New Roman" w:hAnsi="Times New Roman" w:cs="Times New Roman" w:hint="eastAsia"/>
        </w:rPr>
        <w:t>(Lines 120-123 in the revised manuscript)</w:t>
      </w:r>
    </w:p>
    <w:p w14:paraId="34998E23" w14:textId="11AB2AE6" w:rsidR="00E25CD6" w:rsidRDefault="005502B1" w:rsidP="004530BD">
      <w:pPr>
        <w:pStyle w:val="a6"/>
        <w:spacing w:line="360" w:lineRule="auto"/>
        <w:ind w:left="800"/>
        <w:jc w:val="both"/>
        <w:rPr>
          <w:rFonts w:ascii="Times New Roman" w:hAnsi="Times New Roman" w:cs="Times New Roman"/>
        </w:rPr>
      </w:pPr>
      <w:r>
        <w:rPr>
          <w:rFonts w:ascii="Times New Roman" w:hAnsi="Times New Roman" w:cs="Times New Roman" w:hint="eastAsia"/>
        </w:rPr>
        <w:t>Please note</w:t>
      </w:r>
      <w:r w:rsidR="00E25CD6">
        <w:rPr>
          <w:rFonts w:ascii="Times New Roman" w:hAnsi="Times New Roman" w:cs="Times New Roman" w:hint="eastAsia"/>
        </w:rPr>
        <w:t xml:space="preserve"> that</w:t>
      </w:r>
      <w:r w:rsidRPr="005502B1">
        <w:rPr>
          <w:rFonts w:ascii="Times New Roman" w:hAnsi="Times New Roman" w:cs="Times New Roman"/>
        </w:rPr>
        <w:t xml:space="preserve"> restricting the analysis to the 2019 biomass dataset did not alter the results obtained using the combined 2018–2019 datasets</w:t>
      </w:r>
      <w:r w:rsidR="00E25CD6">
        <w:rPr>
          <w:rFonts w:ascii="Times New Roman" w:hAnsi="Times New Roman" w:cs="Times New Roman" w:hint="eastAsia"/>
        </w:rPr>
        <w:t>.</w:t>
      </w:r>
    </w:p>
    <w:p w14:paraId="617179C4" w14:textId="77777777" w:rsidR="00E25CD6" w:rsidRDefault="00E25CD6" w:rsidP="004530BD">
      <w:pPr>
        <w:spacing w:line="360" w:lineRule="auto"/>
        <w:jc w:val="both"/>
        <w:rPr>
          <w:rFonts w:ascii="Times New Roman" w:hAnsi="Times New Roman" w:cs="Times New Roman"/>
        </w:rPr>
      </w:pPr>
    </w:p>
    <w:p w14:paraId="3525DC27" w14:textId="648F1DA7" w:rsidR="001310C0" w:rsidRPr="00B55BEF" w:rsidRDefault="001310C0" w:rsidP="004530BD">
      <w:pPr>
        <w:spacing w:line="360" w:lineRule="auto"/>
        <w:jc w:val="both"/>
        <w:rPr>
          <w:rFonts w:ascii="Times New Roman" w:hAnsi="Times New Roman" w:cs="Times New Roman"/>
          <w:b/>
          <w:bCs/>
        </w:rPr>
      </w:pPr>
      <w:r w:rsidRPr="00B55BEF">
        <w:rPr>
          <w:rFonts w:ascii="Times New Roman" w:hAnsi="Times New Roman" w:cs="Times New Roman"/>
          <w:b/>
          <w:bCs/>
        </w:rPr>
        <w:t xml:space="preserve">Lines 185-190: Figure 2 lacks the statistical </w:t>
      </w:r>
      <w:proofErr w:type="gramStart"/>
      <w:r w:rsidRPr="00B55BEF">
        <w:rPr>
          <w:rFonts w:ascii="Times New Roman" w:hAnsi="Times New Roman" w:cs="Times New Roman"/>
          <w:b/>
          <w:bCs/>
        </w:rPr>
        <w:t>difference test</w:t>
      </w:r>
      <w:proofErr w:type="gramEnd"/>
      <w:r w:rsidRPr="00B55BEF">
        <w:rPr>
          <w:rFonts w:ascii="Times New Roman" w:hAnsi="Times New Roman" w:cs="Times New Roman"/>
          <w:b/>
          <w:bCs/>
        </w:rPr>
        <w:t xml:space="preserve"> between </w:t>
      </w:r>
      <w:proofErr w:type="gramStart"/>
      <w:r w:rsidRPr="00B55BEF">
        <w:rPr>
          <w:rFonts w:ascii="Times New Roman" w:hAnsi="Times New Roman" w:cs="Times New Roman"/>
          <w:b/>
          <w:bCs/>
        </w:rPr>
        <w:t>treatments</w:t>
      </w:r>
      <w:proofErr w:type="gramEnd"/>
      <w:r w:rsidRPr="00B55BEF">
        <w:rPr>
          <w:rFonts w:ascii="Times New Roman" w:hAnsi="Times New Roman" w:cs="Times New Roman"/>
          <w:b/>
          <w:bCs/>
        </w:rPr>
        <w:t>. I suggest dividing the pore size into different size intervals and then comparing the differences between treatments.</w:t>
      </w:r>
    </w:p>
    <w:p w14:paraId="621B418F" w14:textId="53BF3E68" w:rsidR="00821634" w:rsidRDefault="00821634" w:rsidP="004530BD">
      <w:pPr>
        <w:pStyle w:val="a6"/>
        <w:spacing w:line="360" w:lineRule="auto"/>
        <w:ind w:left="800"/>
        <w:jc w:val="both"/>
        <w:rPr>
          <w:rFonts w:ascii="Times New Roman" w:hAnsi="Times New Roman" w:cs="Times New Roman"/>
        </w:rPr>
      </w:pPr>
      <w:r w:rsidRPr="00821634">
        <w:rPr>
          <w:rFonts w:ascii="Times New Roman" w:hAnsi="Times New Roman" w:cs="Times New Roman"/>
        </w:rPr>
        <w:t xml:space="preserve">Thank you for pointing this out. We performed formal tests at each pore-size class and updated Figure 2 accordingly. Pairwise comparisons among plant systems within each pore-size class were conducted and the resulting significances are now indicated in </w:t>
      </w:r>
      <w:r w:rsidR="00724790" w:rsidRPr="00821634">
        <w:rPr>
          <w:rFonts w:ascii="Times New Roman" w:hAnsi="Times New Roman" w:cs="Times New Roman"/>
        </w:rPr>
        <w:t>figure</w:t>
      </w:r>
      <w:r w:rsidRPr="00821634">
        <w:rPr>
          <w:rFonts w:ascii="Times New Roman" w:hAnsi="Times New Roman" w:cs="Times New Roman"/>
        </w:rPr>
        <w:t xml:space="preserve"> </w:t>
      </w:r>
      <w:r w:rsidR="00311E11">
        <w:rPr>
          <w:rFonts w:ascii="Times New Roman" w:hAnsi="Times New Roman" w:cs="Times New Roman" w:hint="eastAsia"/>
        </w:rPr>
        <w:t>2.</w:t>
      </w:r>
    </w:p>
    <w:p w14:paraId="5F856A84" w14:textId="77777777" w:rsidR="0065703D" w:rsidRDefault="0065703D" w:rsidP="004530BD">
      <w:pPr>
        <w:pStyle w:val="a6"/>
        <w:spacing w:line="360" w:lineRule="auto"/>
        <w:ind w:left="800"/>
        <w:jc w:val="both"/>
        <w:rPr>
          <w:rFonts w:ascii="Times New Roman" w:hAnsi="Times New Roman" w:cs="Times New Roman"/>
        </w:rPr>
      </w:pPr>
    </w:p>
    <w:p w14:paraId="706CF814" w14:textId="6B2BA27B" w:rsidR="00C92DF1" w:rsidRDefault="00C92DF1" w:rsidP="004530BD">
      <w:pPr>
        <w:pStyle w:val="a6"/>
        <w:spacing w:line="360" w:lineRule="auto"/>
        <w:ind w:left="800"/>
        <w:jc w:val="both"/>
        <w:rPr>
          <w:rFonts w:ascii="Times New Roman" w:hAnsi="Times New Roman" w:cs="Times New Roman"/>
        </w:rPr>
      </w:pPr>
      <w:r>
        <w:rPr>
          <w:rFonts w:ascii="Times New Roman" w:hAnsi="Times New Roman" w:cs="Times New Roman"/>
        </w:rPr>
        <w:t>“</w:t>
      </w:r>
      <w:r w:rsidRPr="00C92DF1">
        <w:rPr>
          <w:rFonts w:ascii="Times New Roman" w:hAnsi="Times New Roman" w:cs="Times New Roman"/>
        </w:rPr>
        <w:t xml:space="preserve">The statistical model for pore and </w:t>
      </w:r>
      <w:proofErr w:type="spellStart"/>
      <w:r w:rsidRPr="00C92DF1">
        <w:rPr>
          <w:rFonts w:ascii="Times New Roman" w:hAnsi="Times New Roman" w:cs="Times New Roman"/>
        </w:rPr>
        <w:t>biopore</w:t>
      </w:r>
      <w:proofErr w:type="spellEnd"/>
      <w:r w:rsidRPr="00C92DF1">
        <w:rPr>
          <w:rFonts w:ascii="Times New Roman" w:hAnsi="Times New Roman" w:cs="Times New Roman"/>
        </w:rPr>
        <w:t xml:space="preserve"> size distribution data included the pore size class and its interaction with plant system as fixed effects, and soil core nested within the plant system and experimental plot as the random effect. When the ANOVA was significant, all pairwise mean comparisons among plant systems were conducted within each pore size class.</w:t>
      </w:r>
      <w:r>
        <w:rPr>
          <w:rFonts w:ascii="Times New Roman" w:hAnsi="Times New Roman" w:cs="Times New Roman"/>
        </w:rPr>
        <w:t>”</w:t>
      </w:r>
      <w:r>
        <w:rPr>
          <w:rFonts w:ascii="Times New Roman" w:hAnsi="Times New Roman" w:cs="Times New Roman" w:hint="eastAsia"/>
        </w:rPr>
        <w:t xml:space="preserve"> (Lines 1</w:t>
      </w:r>
      <w:r w:rsidR="00D75E39">
        <w:rPr>
          <w:rFonts w:ascii="Times New Roman" w:hAnsi="Times New Roman" w:cs="Times New Roman" w:hint="eastAsia"/>
        </w:rPr>
        <w:t>77</w:t>
      </w:r>
      <w:r>
        <w:rPr>
          <w:rFonts w:ascii="Times New Roman" w:hAnsi="Times New Roman" w:cs="Times New Roman" w:hint="eastAsia"/>
        </w:rPr>
        <w:t>-1</w:t>
      </w:r>
      <w:r w:rsidR="00D75E39">
        <w:rPr>
          <w:rFonts w:ascii="Times New Roman" w:hAnsi="Times New Roman" w:cs="Times New Roman" w:hint="eastAsia"/>
        </w:rPr>
        <w:t>80</w:t>
      </w:r>
      <w:r>
        <w:rPr>
          <w:rFonts w:ascii="Times New Roman" w:hAnsi="Times New Roman" w:cs="Times New Roman" w:hint="eastAsia"/>
        </w:rPr>
        <w:t xml:space="preserve"> in the revised manuscript)</w:t>
      </w:r>
    </w:p>
    <w:p w14:paraId="5B522128" w14:textId="528B1025" w:rsidR="0092739B" w:rsidRDefault="00CA4AC2" w:rsidP="004530BD">
      <w:pPr>
        <w:pStyle w:val="a6"/>
        <w:spacing w:line="360" w:lineRule="auto"/>
        <w:ind w:left="800"/>
        <w:jc w:val="both"/>
        <w:rPr>
          <w:rFonts w:ascii="Times New Roman" w:hAnsi="Times New Roman" w:cs="Times New Roman"/>
        </w:rPr>
      </w:pPr>
      <w:r w:rsidRPr="00263D29">
        <w:rPr>
          <w:rFonts w:eastAsia="바탕"/>
          <w:noProof/>
        </w:rPr>
        <w:drawing>
          <wp:inline distT="0" distB="0" distL="0" distR="0" wp14:anchorId="3BF74BC2" wp14:editId="64672BA9">
            <wp:extent cx="3064020" cy="2933700"/>
            <wp:effectExtent l="0" t="0" r="3175" b="0"/>
            <wp:docPr id="1098168476" name="그래픽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168476" name=""/>
                    <pic:cNvPicPr/>
                  </pic:nvPicPr>
                  <pic:blipFill rotWithShape="1">
                    <a:blip r:embed="rId7">
                      <a:extLst>
                        <a:ext uri="{96DAC541-7B7A-43D3-8B79-37D633B846F1}">
                          <asvg:svgBlip xmlns:asvg="http://schemas.microsoft.com/office/drawing/2016/SVG/main" r:embed="rId8"/>
                        </a:ext>
                      </a:extLst>
                    </a:blip>
                    <a:srcRect l="23832" t="4728" r="23810" b="6147"/>
                    <a:stretch>
                      <a:fillRect/>
                    </a:stretch>
                  </pic:blipFill>
                  <pic:spPr bwMode="auto">
                    <a:xfrm>
                      <a:off x="0" y="0"/>
                      <a:ext cx="3076264" cy="2945423"/>
                    </a:xfrm>
                    <a:prstGeom prst="rect">
                      <a:avLst/>
                    </a:prstGeom>
                    <a:ln>
                      <a:noFill/>
                    </a:ln>
                    <a:extLst>
                      <a:ext uri="{53640926-AAD7-44D8-BBD7-CCE9431645EC}">
                        <a14:shadowObscured xmlns:a14="http://schemas.microsoft.com/office/drawing/2010/main"/>
                      </a:ext>
                    </a:extLst>
                  </pic:spPr>
                </pic:pic>
              </a:graphicData>
            </a:graphic>
          </wp:inline>
        </w:drawing>
      </w:r>
    </w:p>
    <w:p w14:paraId="10F23293" w14:textId="0946A35A" w:rsidR="00B55BEF" w:rsidRDefault="001B6808" w:rsidP="004530BD">
      <w:pPr>
        <w:pStyle w:val="a6"/>
        <w:spacing w:line="360" w:lineRule="auto"/>
        <w:ind w:left="800"/>
        <w:jc w:val="both"/>
        <w:rPr>
          <w:rFonts w:ascii="Times New Roman" w:hAnsi="Times New Roman" w:cs="Times New Roman"/>
        </w:rPr>
      </w:pPr>
      <w:r w:rsidRPr="001B6808">
        <w:rPr>
          <w:rFonts w:ascii="Times New Roman" w:hAnsi="Times New Roman" w:cs="Times New Roman"/>
        </w:rPr>
        <w:t xml:space="preserve">Figure 2: Pore size distribution (a) and </w:t>
      </w:r>
      <w:proofErr w:type="spellStart"/>
      <w:r w:rsidRPr="001B6808">
        <w:rPr>
          <w:rFonts w:ascii="Times New Roman" w:hAnsi="Times New Roman" w:cs="Times New Roman"/>
        </w:rPr>
        <w:t>biopore</w:t>
      </w:r>
      <w:proofErr w:type="spellEnd"/>
      <w:r w:rsidRPr="001B6808">
        <w:rPr>
          <w:rFonts w:ascii="Times New Roman" w:hAnsi="Times New Roman" w:cs="Times New Roman"/>
        </w:rPr>
        <w:t xml:space="preserve"> size distribution (b) in the studied plant diversity systems (CE1: Bare soil, CE7: Switchgrass, CE8: Switchgrass + Rye, CE9: 6 grasses, CE10: 6 grasses + 4 forbs. CE12: 6 grasses + 10 forbs). Gray bars indicate the least significant difference (LSD) in each (Bio)pore diameter group. Asterisks *** and * mark significant differences among the plant diversity treatments at each (Bio)pore diameter at p &lt; 0.01 and p&lt; 0.10 significance.</w:t>
      </w:r>
    </w:p>
    <w:p w14:paraId="37F87DA0" w14:textId="77777777" w:rsidR="00370C35" w:rsidRDefault="00370C35" w:rsidP="004530BD">
      <w:pPr>
        <w:pStyle w:val="a6"/>
        <w:spacing w:line="360" w:lineRule="auto"/>
        <w:ind w:left="800"/>
        <w:jc w:val="both"/>
        <w:rPr>
          <w:rFonts w:ascii="Times New Roman" w:hAnsi="Times New Roman" w:cs="Times New Roman"/>
        </w:rPr>
      </w:pPr>
    </w:p>
    <w:p w14:paraId="087B904D" w14:textId="77777777" w:rsidR="001310C0" w:rsidRPr="00B96690" w:rsidRDefault="001310C0" w:rsidP="004530BD">
      <w:pPr>
        <w:spacing w:line="360" w:lineRule="auto"/>
        <w:jc w:val="both"/>
        <w:rPr>
          <w:rFonts w:ascii="Times New Roman" w:hAnsi="Times New Roman" w:cs="Times New Roman"/>
          <w:b/>
          <w:bCs/>
        </w:rPr>
      </w:pPr>
      <w:r w:rsidRPr="00B96690">
        <w:rPr>
          <w:rFonts w:ascii="Times New Roman" w:hAnsi="Times New Roman" w:cs="Times New Roman"/>
          <w:b/>
          <w:bCs/>
        </w:rPr>
        <w:t>Lines 208-216: The author needs to summarize the important correlation results instead of studying the correlation for each indicator.</w:t>
      </w:r>
    </w:p>
    <w:p w14:paraId="345C21BD" w14:textId="0A7736F0" w:rsidR="00F32CCA" w:rsidRDefault="0050136C" w:rsidP="004530BD">
      <w:pPr>
        <w:pStyle w:val="a6"/>
        <w:numPr>
          <w:ilvl w:val="0"/>
          <w:numId w:val="1"/>
        </w:numPr>
        <w:spacing w:line="360" w:lineRule="auto"/>
        <w:jc w:val="both"/>
        <w:rPr>
          <w:rFonts w:ascii="Times New Roman" w:hAnsi="Times New Roman" w:cs="Times New Roman"/>
        </w:rPr>
      </w:pPr>
      <w:r>
        <w:rPr>
          <w:rFonts w:ascii="Times New Roman" w:hAnsi="Times New Roman" w:cs="Times New Roman" w:hint="eastAsia"/>
        </w:rPr>
        <w:t>Following the reviewer</w:t>
      </w:r>
      <w:r>
        <w:rPr>
          <w:rFonts w:ascii="Times New Roman" w:hAnsi="Times New Roman" w:cs="Times New Roman"/>
        </w:rPr>
        <w:t>’</w:t>
      </w:r>
      <w:r>
        <w:rPr>
          <w:rFonts w:ascii="Times New Roman" w:hAnsi="Times New Roman" w:cs="Times New Roman" w:hint="eastAsia"/>
        </w:rPr>
        <w:t xml:space="preserve">s comment, we have revised </w:t>
      </w:r>
      <w:r w:rsidR="001F48D3">
        <w:rPr>
          <w:rFonts w:ascii="Times New Roman" w:hAnsi="Times New Roman" w:cs="Times New Roman"/>
        </w:rPr>
        <w:t>section</w:t>
      </w:r>
      <w:r w:rsidR="00F32CCA">
        <w:rPr>
          <w:rFonts w:ascii="Times New Roman" w:hAnsi="Times New Roman" w:cs="Times New Roman" w:hint="eastAsia"/>
        </w:rPr>
        <w:t xml:space="preserve"> 3.3 as follows:</w:t>
      </w:r>
    </w:p>
    <w:p w14:paraId="675ECB8D" w14:textId="6A87736A" w:rsidR="0050136C" w:rsidRPr="008C1B80" w:rsidRDefault="00F32CCA" w:rsidP="004530BD">
      <w:pPr>
        <w:pStyle w:val="a6"/>
        <w:spacing w:line="360" w:lineRule="auto"/>
        <w:ind w:left="800"/>
        <w:jc w:val="both"/>
        <w:rPr>
          <w:rFonts w:ascii="Times New Roman" w:hAnsi="Times New Roman" w:cs="Times New Roman"/>
        </w:rPr>
      </w:pPr>
      <w:r>
        <w:rPr>
          <w:rFonts w:ascii="Times New Roman" w:hAnsi="Times New Roman" w:cs="Times New Roman"/>
        </w:rPr>
        <w:t>“</w:t>
      </w:r>
      <w:r w:rsidR="00F76BBD" w:rsidRPr="00F76BBD">
        <w:rPr>
          <w:rFonts w:ascii="Times New Roman" w:hAnsi="Times New Roman" w:cs="Times New Roman"/>
        </w:rPr>
        <w:t xml:space="preserve">Plant species richness and plant functional richness were both positively associated with SOC, with species richness explaining 42% of the variance in SOC (p &lt; 0.01; Fig. 1b) and functional richness explaining 36% (p &lt; 0.01; Fig. 1d). Within the pore metrics, </w:t>
      </w:r>
      <w:proofErr w:type="spellStart"/>
      <w:r w:rsidR="00F76BBD" w:rsidRPr="00F76BBD">
        <w:rPr>
          <w:rFonts w:ascii="Times New Roman" w:hAnsi="Times New Roman" w:cs="Times New Roman"/>
        </w:rPr>
        <w:t>biopore</w:t>
      </w:r>
      <w:proofErr w:type="spellEnd"/>
      <w:r w:rsidR="00F76BBD" w:rsidRPr="00F76BBD">
        <w:rPr>
          <w:rFonts w:ascii="Times New Roman" w:hAnsi="Times New Roman" w:cs="Times New Roman"/>
        </w:rPr>
        <w:t xml:space="preserve"> surface area was positively related to </w:t>
      </w:r>
      <w:proofErr w:type="spellStart"/>
      <w:r w:rsidR="00F76BBD" w:rsidRPr="00F76BBD">
        <w:rPr>
          <w:rFonts w:ascii="Times New Roman" w:hAnsi="Times New Roman" w:cs="Times New Roman"/>
        </w:rPr>
        <w:t>bioporosity</w:t>
      </w:r>
      <w:proofErr w:type="spellEnd"/>
      <w:r w:rsidR="00F76BBD" w:rsidRPr="00F76BBD">
        <w:rPr>
          <w:rFonts w:ascii="Times New Roman" w:hAnsi="Times New Roman" w:cs="Times New Roman"/>
        </w:rPr>
        <w:t xml:space="preserve"> (R2= 0.50, p &lt; 0.01; Fig. 4b), whereas the mean distance from the soil matrix to the nearest </w:t>
      </w:r>
      <w:proofErr w:type="spellStart"/>
      <w:r w:rsidR="00F76BBD" w:rsidRPr="00F76BBD">
        <w:rPr>
          <w:rFonts w:ascii="Times New Roman" w:hAnsi="Times New Roman" w:cs="Times New Roman"/>
        </w:rPr>
        <w:t>biopore</w:t>
      </w:r>
      <w:proofErr w:type="spellEnd"/>
      <w:r w:rsidR="00F76BBD" w:rsidRPr="00F76BBD">
        <w:rPr>
          <w:rFonts w:ascii="Times New Roman" w:hAnsi="Times New Roman" w:cs="Times New Roman"/>
        </w:rPr>
        <w:t xml:space="preserve"> was negatively related to </w:t>
      </w:r>
      <w:proofErr w:type="spellStart"/>
      <w:r w:rsidR="00F76BBD" w:rsidRPr="00F76BBD">
        <w:rPr>
          <w:rFonts w:ascii="Times New Roman" w:hAnsi="Times New Roman" w:cs="Times New Roman"/>
        </w:rPr>
        <w:t>bioporosity</w:t>
      </w:r>
      <w:proofErr w:type="spellEnd"/>
      <w:r w:rsidR="00F76BBD" w:rsidRPr="00F76BBD">
        <w:rPr>
          <w:rFonts w:ascii="Times New Roman" w:hAnsi="Times New Roman" w:cs="Times New Roman"/>
        </w:rPr>
        <w:t xml:space="preserve"> (R2= 0.46, p &lt; 0.01; Fig. 4d). </w:t>
      </w:r>
      <w:proofErr w:type="spellStart"/>
      <w:r w:rsidR="00F76BBD" w:rsidRPr="00F76BBD">
        <w:rPr>
          <w:rFonts w:ascii="Times New Roman" w:hAnsi="Times New Roman" w:cs="Times New Roman"/>
        </w:rPr>
        <w:t>Bioporosity</w:t>
      </w:r>
      <w:proofErr w:type="spellEnd"/>
      <w:r w:rsidR="00F76BBD" w:rsidRPr="00F76BBD">
        <w:rPr>
          <w:rFonts w:ascii="Times New Roman" w:hAnsi="Times New Roman" w:cs="Times New Roman"/>
        </w:rPr>
        <w:t xml:space="preserve"> increased with plant diversity. Species richness explained 10% of the variance in </w:t>
      </w:r>
      <w:proofErr w:type="spellStart"/>
      <w:r w:rsidR="00F76BBD" w:rsidRPr="00F76BBD">
        <w:rPr>
          <w:rFonts w:ascii="Times New Roman" w:hAnsi="Times New Roman" w:cs="Times New Roman"/>
        </w:rPr>
        <w:t>bioporosity</w:t>
      </w:r>
      <w:proofErr w:type="spellEnd"/>
      <w:r w:rsidR="00F76BBD" w:rsidRPr="00F76BBD">
        <w:rPr>
          <w:rFonts w:ascii="Times New Roman" w:hAnsi="Times New Roman" w:cs="Times New Roman"/>
        </w:rPr>
        <w:t xml:space="preserve"> (p &lt; 0.01; Fig. S4a), and functional richness explained 29% (p &lt; 0.05; Fig. 5a). Consistent with these patterns, </w:t>
      </w:r>
      <w:proofErr w:type="spellStart"/>
      <w:r w:rsidR="00F76BBD" w:rsidRPr="00F76BBD">
        <w:rPr>
          <w:rFonts w:ascii="Times New Roman" w:hAnsi="Times New Roman" w:cs="Times New Roman"/>
        </w:rPr>
        <w:t>bioporosity</w:t>
      </w:r>
      <w:proofErr w:type="spellEnd"/>
      <w:r w:rsidR="00F76BBD" w:rsidRPr="00F76BBD">
        <w:rPr>
          <w:rFonts w:ascii="Times New Roman" w:hAnsi="Times New Roman" w:cs="Times New Roman"/>
        </w:rPr>
        <w:t xml:space="preserve"> was positively correlated with SOC (R2 = 0.36, p &lt; 0.01; Fig. 5b).</w:t>
      </w:r>
      <w:r w:rsidRPr="008C1B80">
        <w:rPr>
          <w:rFonts w:ascii="Times New Roman" w:hAnsi="Times New Roman" w:cs="Times New Roman"/>
        </w:rPr>
        <w:t>”</w:t>
      </w:r>
      <w:r w:rsidR="00DF0426" w:rsidRPr="008C1B80">
        <w:rPr>
          <w:rFonts w:ascii="Times New Roman" w:hAnsi="Times New Roman" w:cs="Times New Roman" w:hint="eastAsia"/>
        </w:rPr>
        <w:t xml:space="preserve"> (Lines 2</w:t>
      </w:r>
      <w:r w:rsidR="003253F0">
        <w:rPr>
          <w:rFonts w:ascii="Times New Roman" w:hAnsi="Times New Roman" w:cs="Times New Roman" w:hint="eastAsia"/>
        </w:rPr>
        <w:t>39</w:t>
      </w:r>
      <w:r w:rsidR="00DF0426" w:rsidRPr="008C1B80">
        <w:rPr>
          <w:rFonts w:ascii="Times New Roman" w:hAnsi="Times New Roman" w:cs="Times New Roman" w:hint="eastAsia"/>
        </w:rPr>
        <w:t>-2</w:t>
      </w:r>
      <w:r w:rsidR="003253F0">
        <w:rPr>
          <w:rFonts w:ascii="Times New Roman" w:hAnsi="Times New Roman" w:cs="Times New Roman" w:hint="eastAsia"/>
        </w:rPr>
        <w:t>45</w:t>
      </w:r>
      <w:r w:rsidR="00DF0426" w:rsidRPr="008C1B80">
        <w:rPr>
          <w:rFonts w:ascii="Times New Roman" w:hAnsi="Times New Roman" w:cs="Times New Roman" w:hint="eastAsia"/>
        </w:rPr>
        <w:t xml:space="preserve"> in the revised manuscript)</w:t>
      </w:r>
    </w:p>
    <w:p w14:paraId="21CC863D" w14:textId="77777777" w:rsidR="0050136C" w:rsidRDefault="0050136C" w:rsidP="004530BD">
      <w:pPr>
        <w:spacing w:line="360" w:lineRule="auto"/>
        <w:jc w:val="both"/>
        <w:rPr>
          <w:rFonts w:ascii="Times New Roman" w:hAnsi="Times New Roman" w:cs="Times New Roman"/>
        </w:rPr>
      </w:pPr>
    </w:p>
    <w:p w14:paraId="075B7C12" w14:textId="3AB3E106" w:rsidR="001310C0" w:rsidRPr="001310C0" w:rsidRDefault="001310C0" w:rsidP="004530BD">
      <w:pPr>
        <w:spacing w:line="360" w:lineRule="auto"/>
        <w:jc w:val="both"/>
        <w:rPr>
          <w:rFonts w:ascii="Times New Roman" w:hAnsi="Times New Roman" w:cs="Times New Roman"/>
        </w:rPr>
      </w:pPr>
      <w:r w:rsidRPr="001310C0">
        <w:rPr>
          <w:rFonts w:ascii="Times New Roman" w:hAnsi="Times New Roman" w:cs="Times New Roman"/>
          <w:b/>
          <w:bCs/>
        </w:rPr>
        <w:t>Discussion</w:t>
      </w:r>
    </w:p>
    <w:p w14:paraId="5BB36474" w14:textId="77777777" w:rsidR="001310C0" w:rsidRDefault="001310C0" w:rsidP="004530BD">
      <w:pPr>
        <w:spacing w:line="360" w:lineRule="auto"/>
        <w:jc w:val="both"/>
        <w:rPr>
          <w:rFonts w:ascii="Times New Roman" w:hAnsi="Times New Roman" w:cs="Times New Roman"/>
          <w:b/>
          <w:bCs/>
        </w:rPr>
      </w:pPr>
      <w:r w:rsidRPr="004739F2">
        <w:rPr>
          <w:rFonts w:ascii="Times New Roman" w:hAnsi="Times New Roman" w:cs="Times New Roman"/>
          <w:b/>
          <w:bCs/>
        </w:rPr>
        <w:t>The Discussion should avoid referencing each figure individually. The authors are expected to focus on interpreting key findings and substantiating their arguments with relevant literature.</w:t>
      </w:r>
    </w:p>
    <w:p w14:paraId="10EEA72F" w14:textId="65390ADF" w:rsidR="000456B9" w:rsidRPr="005A2798" w:rsidRDefault="00085FFB" w:rsidP="004530BD">
      <w:pPr>
        <w:pStyle w:val="a6"/>
        <w:numPr>
          <w:ilvl w:val="0"/>
          <w:numId w:val="1"/>
        </w:numPr>
        <w:spacing w:line="360" w:lineRule="auto"/>
        <w:jc w:val="both"/>
        <w:rPr>
          <w:rFonts w:ascii="Times New Roman" w:hAnsi="Times New Roman" w:cs="Times New Roman"/>
        </w:rPr>
      </w:pPr>
      <w:r>
        <w:rPr>
          <w:rFonts w:ascii="Times New Roman" w:hAnsi="Times New Roman" w:cs="Times New Roman" w:hint="eastAsia"/>
        </w:rPr>
        <w:t xml:space="preserve">While we agree with the </w:t>
      </w:r>
      <w:r>
        <w:rPr>
          <w:rFonts w:ascii="Times New Roman" w:hAnsi="Times New Roman" w:cs="Times New Roman"/>
        </w:rPr>
        <w:t>reviewer</w:t>
      </w:r>
      <w:r>
        <w:rPr>
          <w:rFonts w:ascii="Times New Roman" w:hAnsi="Times New Roman" w:cs="Times New Roman" w:hint="eastAsia"/>
        </w:rPr>
        <w:t xml:space="preserve"> that the discussion session </w:t>
      </w:r>
      <w:r w:rsidRPr="00C21DB3">
        <w:rPr>
          <w:rFonts w:ascii="Times New Roman" w:hAnsi="Times New Roman" w:cs="Times New Roman" w:hint="eastAsia"/>
        </w:rPr>
        <w:t xml:space="preserve">should focus on interpreting key findings and </w:t>
      </w:r>
      <w:r w:rsidR="008022F9" w:rsidRPr="00C21DB3">
        <w:rPr>
          <w:rFonts w:ascii="Times New Roman" w:hAnsi="Times New Roman" w:cs="Times New Roman"/>
        </w:rPr>
        <w:t>providing</w:t>
      </w:r>
      <w:r w:rsidRPr="00C21DB3">
        <w:rPr>
          <w:rFonts w:ascii="Times New Roman" w:hAnsi="Times New Roman" w:cs="Times New Roman" w:hint="eastAsia"/>
        </w:rPr>
        <w:t xml:space="preserve"> </w:t>
      </w:r>
      <w:r w:rsidR="00556E49" w:rsidRPr="00C21DB3">
        <w:rPr>
          <w:rFonts w:ascii="Times New Roman" w:hAnsi="Times New Roman" w:cs="Times New Roman"/>
        </w:rPr>
        <w:t>supporting</w:t>
      </w:r>
      <w:r w:rsidR="00556E49" w:rsidRPr="00C21DB3">
        <w:rPr>
          <w:rFonts w:ascii="Times New Roman" w:hAnsi="Times New Roman" w:cs="Times New Roman" w:hint="eastAsia"/>
        </w:rPr>
        <w:t xml:space="preserve"> </w:t>
      </w:r>
      <w:r w:rsidR="00B54618" w:rsidRPr="00C21DB3">
        <w:rPr>
          <w:rFonts w:ascii="Times New Roman" w:hAnsi="Times New Roman" w:cs="Times New Roman"/>
        </w:rPr>
        <w:t>evidence</w:t>
      </w:r>
      <w:r w:rsidR="00556E49" w:rsidRPr="00C21DB3">
        <w:rPr>
          <w:rFonts w:ascii="Times New Roman" w:hAnsi="Times New Roman" w:cs="Times New Roman" w:hint="eastAsia"/>
        </w:rPr>
        <w:t xml:space="preserve"> from </w:t>
      </w:r>
      <w:r w:rsidR="00556E49" w:rsidRPr="00C21DB3">
        <w:rPr>
          <w:rFonts w:ascii="Times New Roman" w:hAnsi="Times New Roman" w:cs="Times New Roman"/>
        </w:rPr>
        <w:t>relevant</w:t>
      </w:r>
      <w:r w:rsidR="00556E49" w:rsidRPr="00C21DB3">
        <w:rPr>
          <w:rFonts w:ascii="Times New Roman" w:hAnsi="Times New Roman" w:cs="Times New Roman" w:hint="eastAsia"/>
        </w:rPr>
        <w:t xml:space="preserve"> literature, we do not agree that the discussion should avoid referencing each figure individually. </w:t>
      </w:r>
      <w:r w:rsidR="0032562D" w:rsidRPr="00C21DB3">
        <w:rPr>
          <w:rFonts w:ascii="Times New Roman" w:hAnsi="Times New Roman" w:cs="Times New Roman"/>
        </w:rPr>
        <w:t xml:space="preserve">To support the </w:t>
      </w:r>
      <w:r w:rsidR="003D7713" w:rsidRPr="00C21DB3">
        <w:rPr>
          <w:rFonts w:ascii="Times New Roman" w:hAnsi="Times New Roman" w:cs="Times New Roman" w:hint="eastAsia"/>
        </w:rPr>
        <w:t>key arguments</w:t>
      </w:r>
      <w:r w:rsidR="0032562D" w:rsidRPr="00C21DB3">
        <w:rPr>
          <w:rFonts w:ascii="Times New Roman" w:hAnsi="Times New Roman" w:cs="Times New Roman"/>
        </w:rPr>
        <w:t xml:space="preserve"> and their interpretation, it is essential to reference the results obtained in this study.</w:t>
      </w:r>
      <w:r w:rsidR="00B54618" w:rsidRPr="00C21DB3">
        <w:rPr>
          <w:rFonts w:ascii="Times New Roman" w:hAnsi="Times New Roman" w:cs="Times New Roman" w:hint="eastAsia"/>
        </w:rPr>
        <w:t xml:space="preserve"> Our </w:t>
      </w:r>
      <w:r w:rsidR="007230D2" w:rsidRPr="00C21DB3">
        <w:rPr>
          <w:rFonts w:ascii="Times New Roman" w:hAnsi="Times New Roman" w:cs="Times New Roman" w:hint="eastAsia"/>
        </w:rPr>
        <w:t>response to reviewer</w:t>
      </w:r>
      <w:r w:rsidR="007230D2" w:rsidRPr="00C21DB3">
        <w:rPr>
          <w:rFonts w:ascii="Times New Roman" w:hAnsi="Times New Roman" w:cs="Times New Roman"/>
        </w:rPr>
        <w:t>’</w:t>
      </w:r>
      <w:r w:rsidR="007230D2" w:rsidRPr="00C21DB3">
        <w:rPr>
          <w:rFonts w:ascii="Times New Roman" w:hAnsi="Times New Roman" w:cs="Times New Roman" w:hint="eastAsia"/>
        </w:rPr>
        <w:t xml:space="preserve">s comment on Lines 237-240 is in </w:t>
      </w:r>
      <w:r w:rsidR="007230D2" w:rsidRPr="005A2798">
        <w:rPr>
          <w:rFonts w:ascii="Times New Roman" w:hAnsi="Times New Roman" w:cs="Times New Roman" w:hint="eastAsia"/>
        </w:rPr>
        <w:t>line with this argument.</w:t>
      </w:r>
    </w:p>
    <w:p w14:paraId="0C218C89" w14:textId="77777777" w:rsidR="001310C0" w:rsidRPr="005A2798" w:rsidRDefault="001310C0" w:rsidP="004530BD">
      <w:pPr>
        <w:spacing w:line="360" w:lineRule="auto"/>
        <w:jc w:val="both"/>
        <w:rPr>
          <w:rFonts w:ascii="Times New Roman" w:hAnsi="Times New Roman" w:cs="Times New Roman"/>
          <w:b/>
          <w:bCs/>
        </w:rPr>
      </w:pPr>
      <w:r w:rsidRPr="005A2798">
        <w:rPr>
          <w:rFonts w:ascii="Times New Roman" w:hAnsi="Times New Roman" w:cs="Times New Roman"/>
          <w:b/>
          <w:bCs/>
        </w:rPr>
        <w:t>Lines 233-240: The variation in C mineralization across systems is not discussed.</w:t>
      </w:r>
    </w:p>
    <w:p w14:paraId="00C8D635" w14:textId="7215E524" w:rsidR="00C26483" w:rsidRDefault="00C26483" w:rsidP="00C26483">
      <w:pPr>
        <w:pStyle w:val="a6"/>
        <w:numPr>
          <w:ilvl w:val="0"/>
          <w:numId w:val="1"/>
        </w:numPr>
        <w:spacing w:line="360" w:lineRule="auto"/>
        <w:jc w:val="both"/>
        <w:rPr>
          <w:rFonts w:ascii="Times New Roman" w:hAnsi="Times New Roman" w:cs="Times New Roman"/>
        </w:rPr>
      </w:pPr>
      <w:r w:rsidRPr="00C26483">
        <w:rPr>
          <w:rFonts w:ascii="Times New Roman" w:hAnsi="Times New Roman" w:cs="Times New Roman"/>
        </w:rPr>
        <w:t xml:space="preserve">As the reviewer suggested, we primarily focused on interpreting the key findings. In our study, C mineralization did not exhibit a clear trend in relation to SOC or plant diversity. Nevertheless, we addressed the discrepancy between our results and previous </w:t>
      </w:r>
      <w:r w:rsidR="00807C45" w:rsidRPr="00C26483">
        <w:rPr>
          <w:rFonts w:ascii="Times New Roman" w:hAnsi="Times New Roman" w:cs="Times New Roman"/>
        </w:rPr>
        <w:t>reports and</w:t>
      </w:r>
      <w:r w:rsidRPr="00C26483">
        <w:rPr>
          <w:rFonts w:ascii="Times New Roman" w:hAnsi="Times New Roman" w:cs="Times New Roman"/>
        </w:rPr>
        <w:t xml:space="preserve"> highlighted the need for further investigations into microbial processes within </w:t>
      </w:r>
      <w:proofErr w:type="spellStart"/>
      <w:r w:rsidRPr="00C26483">
        <w:rPr>
          <w:rFonts w:ascii="Times New Roman" w:hAnsi="Times New Roman" w:cs="Times New Roman"/>
        </w:rPr>
        <w:t>biopores</w:t>
      </w:r>
      <w:proofErr w:type="spellEnd"/>
      <w:r w:rsidRPr="00C26483">
        <w:rPr>
          <w:rFonts w:ascii="Times New Roman" w:hAnsi="Times New Roman" w:cs="Times New Roman"/>
        </w:rPr>
        <w:t xml:space="preserve"> to better explain these patterns.</w:t>
      </w:r>
      <w:r w:rsidRPr="00C26483">
        <w:rPr>
          <w:rFonts w:ascii="Times New Roman" w:hAnsi="Times New Roman" w:cs="Times New Roman"/>
        </w:rPr>
        <w:t xml:space="preserve"> </w:t>
      </w:r>
    </w:p>
    <w:p w14:paraId="65F65613" w14:textId="3E4F8DE0" w:rsidR="00975DCD" w:rsidRPr="00F00F8A" w:rsidRDefault="00975DCD" w:rsidP="00975DCD">
      <w:pPr>
        <w:pStyle w:val="a6"/>
        <w:spacing w:line="360" w:lineRule="auto"/>
        <w:ind w:left="800"/>
        <w:jc w:val="both"/>
        <w:rPr>
          <w:rFonts w:ascii="Times New Roman" w:hAnsi="Times New Roman" w:cs="Times New Roman" w:hint="eastAsia"/>
        </w:rPr>
      </w:pPr>
      <w:r>
        <w:rPr>
          <w:rFonts w:ascii="Times New Roman" w:hAnsi="Times New Roman" w:cs="Times New Roman"/>
        </w:rPr>
        <w:t>“</w:t>
      </w:r>
      <w:r w:rsidR="00F23A1A" w:rsidRPr="00F23A1A">
        <w:rPr>
          <w:rFonts w:ascii="Times New Roman" w:hAnsi="Times New Roman" w:cs="Times New Roman"/>
        </w:rPr>
        <w:t xml:space="preserve">Our C mineralization results (Fig. 1c) did not much correspond with previous reports indicating that higher plant diversity enhances microbial C use efficiency (Eisenhauer et al., 2009), likely driven by greater chemical heterogeneity and enhanced substrate accessibility to soil microbes (Mellado-Vázquez et al., 2016; </w:t>
      </w:r>
      <w:proofErr w:type="spellStart"/>
      <w:r w:rsidR="00F23A1A" w:rsidRPr="00F23A1A">
        <w:rPr>
          <w:rFonts w:ascii="Times New Roman" w:hAnsi="Times New Roman" w:cs="Times New Roman"/>
        </w:rPr>
        <w:t>Domeignoz</w:t>
      </w:r>
      <w:proofErr w:type="spellEnd"/>
      <w:r w:rsidR="00F23A1A" w:rsidRPr="00F23A1A">
        <w:rPr>
          <w:rFonts w:ascii="Times New Roman" w:hAnsi="Times New Roman" w:cs="Times New Roman"/>
        </w:rPr>
        <w:t xml:space="preserve">-Horta et al., 2024). We suggest that future studies incorporate more detailed assessments of microbial biomass, community composition, and diversity to better elucidate carbon processes occurring in </w:t>
      </w:r>
      <w:proofErr w:type="spellStart"/>
      <w:r w:rsidR="00F23A1A" w:rsidRPr="00F23A1A">
        <w:rPr>
          <w:rFonts w:ascii="Times New Roman" w:hAnsi="Times New Roman" w:cs="Times New Roman"/>
        </w:rPr>
        <w:t>biopores</w:t>
      </w:r>
      <w:proofErr w:type="spellEnd"/>
      <w:r w:rsidR="00F23A1A" w:rsidRPr="00F23A1A">
        <w:rPr>
          <w:rFonts w:ascii="Times New Roman" w:hAnsi="Times New Roman" w:cs="Times New Roman"/>
        </w:rPr>
        <w:t xml:space="preserve">. These inconsistencies highlight the need for further investigation of microbial activities and net C balance to identify the specific microbial pathways operating in </w:t>
      </w:r>
      <w:proofErr w:type="spellStart"/>
      <w:r w:rsidR="00F23A1A" w:rsidRPr="00F23A1A">
        <w:rPr>
          <w:rFonts w:ascii="Times New Roman" w:hAnsi="Times New Roman" w:cs="Times New Roman"/>
        </w:rPr>
        <w:t>biopores</w:t>
      </w:r>
      <w:proofErr w:type="spellEnd"/>
      <w:r w:rsidR="00F23A1A" w:rsidRPr="00F23A1A">
        <w:rPr>
          <w:rFonts w:ascii="Times New Roman" w:hAnsi="Times New Roman" w:cs="Times New Roman"/>
        </w:rPr>
        <w:t xml:space="preserve">. In particular, the integration of X-ray µCT with pore-scale microbial analyses, as recently demonstrated by Li et al. (2024), represents a promising approach to advance our understanding of SOC accumulation mediated by soil microorganisms in </w:t>
      </w:r>
      <w:proofErr w:type="spellStart"/>
      <w:r w:rsidR="00F23A1A" w:rsidRPr="00F23A1A">
        <w:rPr>
          <w:rFonts w:ascii="Times New Roman" w:hAnsi="Times New Roman" w:cs="Times New Roman"/>
        </w:rPr>
        <w:t>biopores</w:t>
      </w:r>
      <w:proofErr w:type="spellEnd"/>
      <w:r w:rsidR="00F23A1A" w:rsidRPr="00F23A1A">
        <w:rPr>
          <w:rFonts w:ascii="Times New Roman" w:hAnsi="Times New Roman" w:cs="Times New Roman"/>
        </w:rPr>
        <w:t xml:space="preserve"> structures.</w:t>
      </w:r>
      <w:r w:rsidR="00F00F8A">
        <w:rPr>
          <w:rFonts w:ascii="Times New Roman" w:hAnsi="Times New Roman" w:cs="Times New Roman"/>
        </w:rPr>
        <w:t>”</w:t>
      </w:r>
      <w:r w:rsidR="00F00F8A">
        <w:rPr>
          <w:rFonts w:ascii="Times New Roman" w:hAnsi="Times New Roman" w:cs="Times New Roman" w:hint="eastAsia"/>
        </w:rPr>
        <w:t xml:space="preserve"> (Lines 292-300 in the revised manuscript)</w:t>
      </w:r>
    </w:p>
    <w:p w14:paraId="7E1927CD" w14:textId="48EB6BE7" w:rsidR="001310C0" w:rsidRPr="0067513F" w:rsidRDefault="001310C0" w:rsidP="004530BD">
      <w:pPr>
        <w:spacing w:line="360" w:lineRule="auto"/>
        <w:jc w:val="both"/>
        <w:rPr>
          <w:rFonts w:ascii="Times New Roman" w:hAnsi="Times New Roman" w:cs="Times New Roman"/>
          <w:b/>
          <w:bCs/>
        </w:rPr>
      </w:pPr>
      <w:r w:rsidRPr="0067513F">
        <w:rPr>
          <w:rFonts w:ascii="Times New Roman" w:hAnsi="Times New Roman" w:cs="Times New Roman"/>
          <w:b/>
          <w:bCs/>
        </w:rPr>
        <w:t>Line 237: The non-significant relationships between aboveground biomass and SOC may be related to C mineralization rates</w:t>
      </w:r>
      <w:r w:rsidR="00955773" w:rsidRPr="0067513F">
        <w:rPr>
          <w:rFonts w:ascii="Times New Roman" w:hAnsi="Times New Roman" w:cs="Times New Roman" w:hint="eastAsia"/>
          <w:b/>
          <w:bCs/>
        </w:rPr>
        <w:t>.</w:t>
      </w:r>
    </w:p>
    <w:p w14:paraId="4AEF1999" w14:textId="017526FE" w:rsidR="003D7474" w:rsidRPr="007714C3" w:rsidRDefault="001223DD" w:rsidP="004530BD">
      <w:pPr>
        <w:pStyle w:val="a6"/>
        <w:numPr>
          <w:ilvl w:val="0"/>
          <w:numId w:val="1"/>
        </w:numPr>
        <w:spacing w:line="360" w:lineRule="auto"/>
        <w:jc w:val="both"/>
        <w:rPr>
          <w:rFonts w:ascii="Times New Roman" w:hAnsi="Times New Roman" w:cs="Times New Roman"/>
        </w:rPr>
      </w:pPr>
      <w:r w:rsidRPr="001223DD">
        <w:rPr>
          <w:rFonts w:ascii="Times New Roman" w:hAnsi="Times New Roman" w:cs="Times New Roman"/>
        </w:rPr>
        <w:t xml:space="preserve">We appreciate the comment, but this does not appear to be the case in our dataset. The relationship between </w:t>
      </w:r>
      <w:proofErr w:type="gramStart"/>
      <w:r w:rsidRPr="001223DD">
        <w:rPr>
          <w:rFonts w:ascii="Times New Roman" w:hAnsi="Times New Roman" w:cs="Times New Roman"/>
        </w:rPr>
        <w:t>aboveground</w:t>
      </w:r>
      <w:proofErr w:type="gramEnd"/>
      <w:r w:rsidRPr="001223DD">
        <w:rPr>
          <w:rFonts w:ascii="Times New Roman" w:hAnsi="Times New Roman" w:cs="Times New Roman"/>
        </w:rPr>
        <w:t xml:space="preserve"> biomass and SOC (</w:t>
      </w:r>
      <w:r w:rsidR="007714C3">
        <w:rPr>
          <w:rFonts w:ascii="Times New Roman" w:hAnsi="Times New Roman" w:cs="Times New Roman" w:hint="eastAsia"/>
        </w:rPr>
        <w:t>Fig. S2c</w:t>
      </w:r>
      <w:r w:rsidRPr="001223DD">
        <w:rPr>
          <w:rFonts w:ascii="Times New Roman" w:hAnsi="Times New Roman" w:cs="Times New Roman"/>
        </w:rPr>
        <w:t xml:space="preserve">) shows no consistent trend. </w:t>
      </w:r>
      <w:r w:rsidRPr="007714C3">
        <w:rPr>
          <w:rFonts w:ascii="Times New Roman" w:hAnsi="Times New Roman" w:cs="Times New Roman"/>
        </w:rPr>
        <w:t>Specifically, the CE7 plots (dark green) would require an SOC concentration of</w:t>
      </w:r>
      <w:r w:rsidR="007714C3">
        <w:rPr>
          <w:rFonts w:ascii="Times New Roman" w:hAnsi="Times New Roman" w:cs="Times New Roman" w:hint="eastAsia"/>
        </w:rPr>
        <w:t xml:space="preserve"> </w:t>
      </w:r>
      <w:r w:rsidRPr="007714C3">
        <w:rPr>
          <w:rFonts w:ascii="Times New Roman" w:hAnsi="Times New Roman" w:cs="Times New Roman"/>
        </w:rPr>
        <w:t>approximately ~1.2% to align with a positive correlation</w:t>
      </w:r>
      <w:r w:rsidR="00254FBF" w:rsidRPr="007714C3">
        <w:rPr>
          <w:rFonts w:ascii="Times New Roman" w:hAnsi="Times New Roman" w:cs="Times New Roman" w:hint="eastAsia"/>
        </w:rPr>
        <w:t>. However,</w:t>
      </w:r>
      <w:r w:rsidRPr="007714C3">
        <w:rPr>
          <w:rFonts w:ascii="Times New Roman" w:hAnsi="Times New Roman" w:cs="Times New Roman"/>
        </w:rPr>
        <w:t xml:space="preserve"> observed SOC in CE7 is </w:t>
      </w:r>
      <w:r w:rsidRPr="007714C3">
        <w:rPr>
          <w:rFonts w:ascii="Times New Roman" w:hAnsi="Times New Roman" w:cs="Times New Roman"/>
        </w:rPr>
        <w:lastRenderedPageBreak/>
        <w:t xml:space="preserve">lower than expected given its aboveground biomass. </w:t>
      </w:r>
      <w:r w:rsidR="004E6106">
        <w:rPr>
          <w:rFonts w:ascii="Times New Roman" w:hAnsi="Times New Roman" w:cs="Times New Roman" w:hint="eastAsia"/>
        </w:rPr>
        <w:t xml:space="preserve">As pointed out by reviewer, </w:t>
      </w:r>
      <w:r w:rsidR="00977A31">
        <w:rPr>
          <w:rFonts w:ascii="Times New Roman" w:hAnsi="Times New Roman" w:cs="Times New Roman" w:hint="eastAsia"/>
        </w:rPr>
        <w:t>o</w:t>
      </w:r>
      <w:r w:rsidRPr="007714C3">
        <w:rPr>
          <w:rFonts w:ascii="Times New Roman" w:hAnsi="Times New Roman" w:cs="Times New Roman"/>
        </w:rPr>
        <w:t xml:space="preserve">ne possible explanation would be unusually high C </w:t>
      </w:r>
      <w:r w:rsidR="006E426D" w:rsidRPr="007714C3">
        <w:rPr>
          <w:rFonts w:ascii="Times New Roman" w:hAnsi="Times New Roman" w:cs="Times New Roman"/>
        </w:rPr>
        <w:t>mineralization</w:t>
      </w:r>
      <w:r w:rsidRPr="007714C3">
        <w:rPr>
          <w:rFonts w:ascii="Times New Roman" w:hAnsi="Times New Roman" w:cs="Times New Roman"/>
        </w:rPr>
        <w:t xml:space="preserve"> at CE7, leading to disproportionate C losses. However, our incubation data (Fig. 1c) indicate that CE7 exhibited the lowest </w:t>
      </w:r>
      <w:r w:rsidR="006E426D" w:rsidRPr="007714C3">
        <w:rPr>
          <w:rFonts w:ascii="Times New Roman" w:hAnsi="Times New Roman" w:cs="Times New Roman"/>
        </w:rPr>
        <w:t>mineralization</w:t>
      </w:r>
      <w:r w:rsidRPr="007714C3">
        <w:rPr>
          <w:rFonts w:ascii="Times New Roman" w:hAnsi="Times New Roman" w:cs="Times New Roman"/>
        </w:rPr>
        <w:t xml:space="preserve"> rates among the diverse plant systems, arguing against elevated </w:t>
      </w:r>
      <w:r w:rsidR="001C137A" w:rsidRPr="007714C3">
        <w:rPr>
          <w:rFonts w:ascii="Times New Roman" w:hAnsi="Times New Roman" w:cs="Times New Roman"/>
        </w:rPr>
        <w:t>mineralization</w:t>
      </w:r>
      <w:r w:rsidRPr="007714C3">
        <w:rPr>
          <w:rFonts w:ascii="Times New Roman" w:hAnsi="Times New Roman" w:cs="Times New Roman"/>
        </w:rPr>
        <w:t xml:space="preserve"> as the driver of the weak</w:t>
      </w:r>
      <w:r w:rsidR="001C137A" w:rsidRPr="007714C3">
        <w:rPr>
          <w:rFonts w:ascii="Times New Roman" w:hAnsi="Times New Roman" w:cs="Times New Roman" w:hint="eastAsia"/>
        </w:rPr>
        <w:t xml:space="preserve"> aboveground</w:t>
      </w:r>
      <w:r w:rsidRPr="007714C3">
        <w:rPr>
          <w:rFonts w:ascii="Times New Roman" w:hAnsi="Times New Roman" w:cs="Times New Roman"/>
        </w:rPr>
        <w:t xml:space="preserve"> biomass–SOC relationship</w:t>
      </w:r>
      <w:r w:rsidR="00A75688" w:rsidRPr="007714C3">
        <w:rPr>
          <w:rFonts w:ascii="Times New Roman" w:hAnsi="Times New Roman" w:cs="Times New Roman" w:hint="eastAsia"/>
        </w:rPr>
        <w:t>.</w:t>
      </w:r>
    </w:p>
    <w:p w14:paraId="2618E0FB" w14:textId="49C07D8D" w:rsidR="001310C0" w:rsidRPr="009F3A20" w:rsidRDefault="001310C0" w:rsidP="004530BD">
      <w:pPr>
        <w:spacing w:line="360" w:lineRule="auto"/>
        <w:jc w:val="both"/>
        <w:rPr>
          <w:rFonts w:ascii="Times New Roman" w:hAnsi="Times New Roman" w:cs="Times New Roman"/>
          <w:b/>
          <w:bCs/>
        </w:rPr>
      </w:pPr>
      <w:r w:rsidRPr="009F3A20">
        <w:rPr>
          <w:rFonts w:ascii="Times New Roman" w:hAnsi="Times New Roman" w:cs="Times New Roman"/>
          <w:b/>
          <w:bCs/>
        </w:rPr>
        <w:t>Lines 237-240: Lack of explanation.</w:t>
      </w:r>
    </w:p>
    <w:p w14:paraId="582DC915" w14:textId="160C0E90" w:rsidR="001D6E2E" w:rsidRPr="00574861" w:rsidRDefault="00F50643" w:rsidP="004530BD">
      <w:pPr>
        <w:pStyle w:val="a6"/>
        <w:numPr>
          <w:ilvl w:val="0"/>
          <w:numId w:val="1"/>
        </w:numPr>
        <w:spacing w:line="360" w:lineRule="auto"/>
        <w:jc w:val="both"/>
        <w:rPr>
          <w:rFonts w:ascii="Times New Roman" w:hAnsi="Times New Roman" w:cs="Times New Roman"/>
          <w:b/>
          <w:bCs/>
        </w:rPr>
      </w:pPr>
      <w:r w:rsidRPr="00DD762E">
        <w:rPr>
          <w:rFonts w:ascii="Times New Roman" w:hAnsi="Times New Roman" w:cs="Times New Roman"/>
        </w:rPr>
        <w:t>We view these lines as a concise recap that directly supports the preceding poin</w:t>
      </w:r>
      <w:r w:rsidRPr="00DD762E">
        <w:rPr>
          <w:rFonts w:ascii="Times New Roman" w:hAnsi="Times New Roman" w:cs="Times New Roman" w:hint="eastAsia"/>
        </w:rPr>
        <w:t>t</w:t>
      </w:r>
      <w:r w:rsidRPr="00DD762E">
        <w:rPr>
          <w:rFonts w:ascii="Times New Roman" w:hAnsi="Times New Roman" w:cs="Times New Roman"/>
        </w:rPr>
        <w:t xml:space="preserve"> that </w:t>
      </w:r>
      <w:r w:rsidRPr="00DD762E">
        <w:rPr>
          <w:rFonts w:ascii="Times New Roman" w:hAnsi="Times New Roman" w:cs="Times New Roman"/>
          <w:i/>
          <w:iCs/>
        </w:rPr>
        <w:t>plant biomass did not significantly contribute to SOC increases</w:t>
      </w:r>
      <w:r w:rsidRPr="00DD762E">
        <w:rPr>
          <w:rFonts w:ascii="Times New Roman" w:hAnsi="Times New Roman" w:cs="Times New Roman"/>
        </w:rPr>
        <w:t xml:space="preserve"> in our dataset. The comparison between CE7 (monoculture) and CE8 (two-species system) highlights this lack of impact: despite CE8 having the lowest aboveground biomass, its SOC was compara</w:t>
      </w:r>
      <w:r w:rsidR="00B51664" w:rsidRPr="00DD762E">
        <w:rPr>
          <w:rFonts w:ascii="Times New Roman" w:hAnsi="Times New Roman" w:cs="Times New Roman" w:hint="eastAsia"/>
        </w:rPr>
        <w:t>tively high</w:t>
      </w:r>
      <w:r w:rsidRPr="00DD762E">
        <w:rPr>
          <w:rFonts w:ascii="Times New Roman" w:hAnsi="Times New Roman" w:cs="Times New Roman"/>
        </w:rPr>
        <w:t>. We therefore believe no additional explanation is required beyond this clarifying contrast.</w:t>
      </w:r>
    </w:p>
    <w:p w14:paraId="7299E1D1" w14:textId="77777777" w:rsidR="00574861" w:rsidRPr="00DD762E" w:rsidRDefault="00574861" w:rsidP="00574861">
      <w:pPr>
        <w:pStyle w:val="a6"/>
        <w:spacing w:line="360" w:lineRule="auto"/>
        <w:ind w:left="800"/>
        <w:jc w:val="both"/>
        <w:rPr>
          <w:rFonts w:ascii="Times New Roman" w:hAnsi="Times New Roman" w:cs="Times New Roman" w:hint="eastAsia"/>
          <w:b/>
          <w:bCs/>
        </w:rPr>
      </w:pPr>
    </w:p>
    <w:p w14:paraId="237BBA41" w14:textId="6E8AA6CC" w:rsidR="001310C0" w:rsidRPr="00921522" w:rsidRDefault="001310C0" w:rsidP="004530BD">
      <w:pPr>
        <w:spacing w:line="360" w:lineRule="auto"/>
        <w:jc w:val="both"/>
        <w:rPr>
          <w:rFonts w:ascii="Times New Roman" w:hAnsi="Times New Roman" w:cs="Times New Roman"/>
          <w:b/>
          <w:bCs/>
        </w:rPr>
      </w:pPr>
      <w:r w:rsidRPr="00921522">
        <w:rPr>
          <w:rFonts w:ascii="Times New Roman" w:hAnsi="Times New Roman" w:cs="Times New Roman"/>
          <w:b/>
          <w:bCs/>
        </w:rPr>
        <w:t>Lines 244-248: The results of the CE8 system were not explained. There is no logical connection between the two sentences.</w:t>
      </w:r>
    </w:p>
    <w:p w14:paraId="094AF81D" w14:textId="3ECA6BC0" w:rsidR="00F14578" w:rsidRDefault="00F14578" w:rsidP="004530BD">
      <w:pPr>
        <w:pStyle w:val="a6"/>
        <w:numPr>
          <w:ilvl w:val="0"/>
          <w:numId w:val="1"/>
        </w:numPr>
        <w:spacing w:line="360" w:lineRule="auto"/>
        <w:jc w:val="both"/>
        <w:rPr>
          <w:rFonts w:ascii="Times New Roman" w:hAnsi="Times New Roman" w:cs="Times New Roman"/>
        </w:rPr>
      </w:pPr>
      <w:r>
        <w:rPr>
          <w:rFonts w:ascii="Times New Roman" w:hAnsi="Times New Roman" w:cs="Times New Roman" w:hint="eastAsia"/>
        </w:rPr>
        <w:t>We have revised the sentence as follows:</w:t>
      </w:r>
    </w:p>
    <w:p w14:paraId="40C109C1" w14:textId="4B171310" w:rsidR="00636F0D" w:rsidRPr="00FD37AF" w:rsidRDefault="009A5C2B" w:rsidP="004530BD">
      <w:pPr>
        <w:pStyle w:val="a6"/>
        <w:spacing w:line="360" w:lineRule="auto"/>
        <w:ind w:left="800"/>
        <w:jc w:val="both"/>
        <w:rPr>
          <w:rFonts w:ascii="Times New Roman" w:hAnsi="Times New Roman" w:cs="Times New Roman"/>
        </w:rPr>
      </w:pPr>
      <w:r>
        <w:rPr>
          <w:rFonts w:ascii="Times New Roman" w:hAnsi="Times New Roman" w:cs="Times New Roman"/>
        </w:rPr>
        <w:t>“</w:t>
      </w:r>
      <w:r w:rsidR="00A60232" w:rsidRPr="00A60232">
        <w:rPr>
          <w:rFonts w:ascii="Times New Roman" w:hAnsi="Times New Roman" w:cs="Times New Roman"/>
        </w:rPr>
        <w:t xml:space="preserve">Moreover, the CE8 system with its unexpectedly high SOC turned out to have higher </w:t>
      </w:r>
      <w:proofErr w:type="spellStart"/>
      <w:r w:rsidR="00A60232" w:rsidRPr="00A60232">
        <w:rPr>
          <w:rFonts w:ascii="Times New Roman" w:hAnsi="Times New Roman" w:cs="Times New Roman"/>
        </w:rPr>
        <w:t>bioporosity</w:t>
      </w:r>
      <w:proofErr w:type="spellEnd"/>
      <w:r w:rsidR="00A60232" w:rsidRPr="00A60232">
        <w:rPr>
          <w:rFonts w:ascii="Times New Roman" w:hAnsi="Times New Roman" w:cs="Times New Roman"/>
        </w:rPr>
        <w:t xml:space="preserve"> and higher volumes of </w:t>
      </w:r>
      <w:proofErr w:type="spellStart"/>
      <w:r w:rsidR="00A60232" w:rsidRPr="00A60232">
        <w:rPr>
          <w:rFonts w:ascii="Times New Roman" w:hAnsi="Times New Roman" w:cs="Times New Roman"/>
        </w:rPr>
        <w:t>biopores</w:t>
      </w:r>
      <w:proofErr w:type="spellEnd"/>
      <w:r w:rsidR="00A60232" w:rsidRPr="00A60232">
        <w:rPr>
          <w:rFonts w:ascii="Times New Roman" w:hAnsi="Times New Roman" w:cs="Times New Roman"/>
        </w:rPr>
        <w:t xml:space="preserve"> of all sizes than the other studied systems (Figs. 2b and 3b. This observation is consistent with previous reports identifying </w:t>
      </w:r>
      <w:proofErr w:type="spellStart"/>
      <w:r w:rsidR="00A60232" w:rsidRPr="00A60232">
        <w:rPr>
          <w:rFonts w:ascii="Times New Roman" w:hAnsi="Times New Roman" w:cs="Times New Roman"/>
        </w:rPr>
        <w:t>biopores</w:t>
      </w:r>
      <w:proofErr w:type="spellEnd"/>
      <w:r w:rsidR="00A60232" w:rsidRPr="00A60232">
        <w:rPr>
          <w:rFonts w:ascii="Times New Roman" w:hAnsi="Times New Roman" w:cs="Times New Roman"/>
        </w:rPr>
        <w:t xml:space="preserve"> as sites of high inputs of labile substrates (Pierret et al., 1999; Xiong et al., 2022), increased microbial abundance and activity (Wendel et al., 2022), and enhanced </w:t>
      </w:r>
      <w:proofErr w:type="spellStart"/>
      <w:r w:rsidR="00A60232" w:rsidRPr="00A60232">
        <w:rPr>
          <w:rFonts w:ascii="Times New Roman" w:hAnsi="Times New Roman" w:cs="Times New Roman"/>
        </w:rPr>
        <w:t>necromass</w:t>
      </w:r>
      <w:proofErr w:type="spellEnd"/>
      <w:r w:rsidR="00A60232" w:rsidRPr="00A60232">
        <w:rPr>
          <w:rFonts w:ascii="Times New Roman" w:hAnsi="Times New Roman" w:cs="Times New Roman"/>
        </w:rPr>
        <w:t xml:space="preserve"> accumulation (Banfield et al., 2018), all of which highlight the role of </w:t>
      </w:r>
      <w:proofErr w:type="spellStart"/>
      <w:r w:rsidR="00A60232" w:rsidRPr="00A60232">
        <w:rPr>
          <w:rFonts w:ascii="Times New Roman" w:hAnsi="Times New Roman" w:cs="Times New Roman"/>
        </w:rPr>
        <w:t>biopores</w:t>
      </w:r>
      <w:proofErr w:type="spellEnd"/>
      <w:r w:rsidR="00A60232" w:rsidRPr="00A60232">
        <w:rPr>
          <w:rFonts w:ascii="Times New Roman" w:hAnsi="Times New Roman" w:cs="Times New Roman"/>
        </w:rPr>
        <w:t xml:space="preserve"> in contributing to SOC accrual</w:t>
      </w:r>
      <w:r w:rsidRPr="009A5C2B">
        <w:rPr>
          <w:rFonts w:ascii="Times New Roman" w:hAnsi="Times New Roman" w:cs="Times New Roman"/>
        </w:rPr>
        <w:t>.</w:t>
      </w:r>
      <w:r>
        <w:rPr>
          <w:rFonts w:ascii="Times New Roman" w:hAnsi="Times New Roman" w:cs="Times New Roman"/>
        </w:rPr>
        <w:t>”</w:t>
      </w:r>
      <w:r>
        <w:rPr>
          <w:rFonts w:ascii="Times New Roman" w:hAnsi="Times New Roman" w:cs="Times New Roman" w:hint="eastAsia"/>
        </w:rPr>
        <w:t xml:space="preserve"> (Lines </w:t>
      </w:r>
      <w:r w:rsidR="00866E2E">
        <w:rPr>
          <w:rFonts w:ascii="Times New Roman" w:hAnsi="Times New Roman" w:cs="Times New Roman" w:hint="eastAsia"/>
        </w:rPr>
        <w:t>2</w:t>
      </w:r>
      <w:r w:rsidR="00EA5E94">
        <w:rPr>
          <w:rFonts w:ascii="Times New Roman" w:hAnsi="Times New Roman" w:cs="Times New Roman" w:hint="eastAsia"/>
        </w:rPr>
        <w:t>75</w:t>
      </w:r>
      <w:r w:rsidR="00866E2E">
        <w:rPr>
          <w:rFonts w:ascii="Times New Roman" w:hAnsi="Times New Roman" w:cs="Times New Roman" w:hint="eastAsia"/>
        </w:rPr>
        <w:t>-2</w:t>
      </w:r>
      <w:r w:rsidR="00EA5E94">
        <w:rPr>
          <w:rFonts w:ascii="Times New Roman" w:hAnsi="Times New Roman" w:cs="Times New Roman" w:hint="eastAsia"/>
        </w:rPr>
        <w:t>80</w:t>
      </w:r>
      <w:r w:rsidR="00866E2E">
        <w:rPr>
          <w:rFonts w:ascii="Times New Roman" w:hAnsi="Times New Roman" w:cs="Times New Roman" w:hint="eastAsia"/>
        </w:rPr>
        <w:t xml:space="preserve"> in the revised manuscript)</w:t>
      </w:r>
    </w:p>
    <w:p w14:paraId="5CA50483" w14:textId="77777777" w:rsidR="001310C0" w:rsidRDefault="001310C0" w:rsidP="004530BD">
      <w:pPr>
        <w:spacing w:line="360" w:lineRule="auto"/>
        <w:jc w:val="both"/>
        <w:rPr>
          <w:rFonts w:ascii="Times New Roman" w:hAnsi="Times New Roman" w:cs="Times New Roman"/>
          <w:b/>
          <w:bCs/>
        </w:rPr>
      </w:pPr>
      <w:r w:rsidRPr="00636F0D">
        <w:rPr>
          <w:rFonts w:ascii="Times New Roman" w:hAnsi="Times New Roman" w:cs="Times New Roman"/>
          <w:b/>
          <w:bCs/>
        </w:rPr>
        <w:t>Lines 273-276: Using legumes as an example is not convincing, as </w:t>
      </w:r>
      <w:r w:rsidRPr="00636F0D">
        <w:rPr>
          <w:rFonts w:ascii="Times New Roman" w:hAnsi="Times New Roman" w:cs="Times New Roman"/>
          <w:b/>
          <w:bCs/>
          <w:i/>
          <w:iCs/>
        </w:rPr>
        <w:t>switchgrass</w:t>
      </w:r>
      <w:r w:rsidRPr="00636F0D">
        <w:rPr>
          <w:rFonts w:ascii="Times New Roman" w:hAnsi="Times New Roman" w:cs="Times New Roman"/>
          <w:b/>
          <w:bCs/>
        </w:rPr>
        <w:t> and </w:t>
      </w:r>
      <w:r w:rsidRPr="00636F0D">
        <w:rPr>
          <w:rFonts w:ascii="Times New Roman" w:hAnsi="Times New Roman" w:cs="Times New Roman"/>
          <w:b/>
          <w:bCs/>
          <w:i/>
          <w:iCs/>
        </w:rPr>
        <w:t>Canadian rye</w:t>
      </w:r>
      <w:r w:rsidRPr="00636F0D">
        <w:rPr>
          <w:rFonts w:ascii="Times New Roman" w:hAnsi="Times New Roman" w:cs="Times New Roman"/>
          <w:b/>
          <w:bCs/>
        </w:rPr>
        <w:t> do not belong to the leguminous family.</w:t>
      </w:r>
    </w:p>
    <w:p w14:paraId="1364E13E" w14:textId="37E9D72C" w:rsidR="00D10393" w:rsidRDefault="00F174F9" w:rsidP="004530BD">
      <w:pPr>
        <w:pStyle w:val="a6"/>
        <w:numPr>
          <w:ilvl w:val="0"/>
          <w:numId w:val="1"/>
        </w:numPr>
        <w:spacing w:line="360" w:lineRule="auto"/>
        <w:jc w:val="both"/>
        <w:rPr>
          <w:rFonts w:ascii="Times New Roman" w:hAnsi="Times New Roman" w:cs="Times New Roman"/>
        </w:rPr>
      </w:pPr>
      <w:r w:rsidRPr="00F174F9">
        <w:rPr>
          <w:rFonts w:ascii="Times New Roman" w:hAnsi="Times New Roman" w:cs="Times New Roman"/>
        </w:rPr>
        <w:t>Thank you for the comment. We cited legumes only to illustrate the general ecological concept of a “keystone effect” (i.e., a species exerting a disproportionately large functional influence), not to imply that legumes were part of our species set or that our results rely on legume-specific mechanisms. If there were published reports showing that the switchgrass–Canadian wildrye combination synergistically enhances SOC, we would have used those examples instead; to our knowledge, such evidence is currently unavailable. In the revision,</w:t>
      </w:r>
      <w:r w:rsidR="00D10393">
        <w:rPr>
          <w:rFonts w:ascii="Times New Roman" w:hAnsi="Times New Roman" w:cs="Times New Roman" w:hint="eastAsia"/>
        </w:rPr>
        <w:t xml:space="preserve"> we divided the paragraph between </w:t>
      </w:r>
      <w:r w:rsidR="006F4FE3">
        <w:rPr>
          <w:rFonts w:ascii="Times New Roman" w:hAnsi="Times New Roman" w:cs="Times New Roman" w:hint="eastAsia"/>
        </w:rPr>
        <w:t xml:space="preserve">Line </w:t>
      </w:r>
      <w:r w:rsidR="00BF2670">
        <w:rPr>
          <w:rFonts w:ascii="Times New Roman" w:hAnsi="Times New Roman" w:cs="Times New Roman" w:hint="eastAsia"/>
        </w:rPr>
        <w:t>30</w:t>
      </w:r>
      <w:r w:rsidR="00267F45">
        <w:rPr>
          <w:rFonts w:ascii="Times New Roman" w:hAnsi="Times New Roman" w:cs="Times New Roman" w:hint="eastAsia"/>
        </w:rPr>
        <w:t>9</w:t>
      </w:r>
      <w:r w:rsidR="006F4FE3">
        <w:rPr>
          <w:rFonts w:ascii="Times New Roman" w:hAnsi="Times New Roman" w:cs="Times New Roman" w:hint="eastAsia"/>
        </w:rPr>
        <w:t xml:space="preserve"> and Line </w:t>
      </w:r>
      <w:r w:rsidR="00BF2670">
        <w:rPr>
          <w:rFonts w:ascii="Times New Roman" w:hAnsi="Times New Roman" w:cs="Times New Roman" w:hint="eastAsia"/>
        </w:rPr>
        <w:t>3</w:t>
      </w:r>
      <w:r w:rsidR="00267F45">
        <w:rPr>
          <w:rFonts w:ascii="Times New Roman" w:hAnsi="Times New Roman" w:cs="Times New Roman" w:hint="eastAsia"/>
        </w:rPr>
        <w:t>10</w:t>
      </w:r>
      <w:r w:rsidR="006F4FE3">
        <w:rPr>
          <w:rFonts w:ascii="Times New Roman" w:hAnsi="Times New Roman" w:cs="Times New Roman" w:hint="eastAsia"/>
        </w:rPr>
        <w:t xml:space="preserve">, to avoid such </w:t>
      </w:r>
      <w:r w:rsidR="008B7D97">
        <w:rPr>
          <w:rFonts w:ascii="Times New Roman" w:hAnsi="Times New Roman" w:cs="Times New Roman" w:hint="eastAsia"/>
        </w:rPr>
        <w:t>misunderstandings.</w:t>
      </w:r>
    </w:p>
    <w:p w14:paraId="69F08C37" w14:textId="25ECFA71" w:rsidR="00F174F9" w:rsidRPr="00FD37AF" w:rsidRDefault="0004710B" w:rsidP="004530BD">
      <w:pPr>
        <w:pStyle w:val="a6"/>
        <w:spacing w:line="360" w:lineRule="auto"/>
        <w:ind w:left="800"/>
        <w:jc w:val="both"/>
        <w:rPr>
          <w:rFonts w:ascii="Times New Roman" w:hAnsi="Times New Roman" w:cs="Times New Roman"/>
        </w:rPr>
      </w:pPr>
      <w:r>
        <w:rPr>
          <w:rFonts w:ascii="Times New Roman" w:hAnsi="Times New Roman" w:cs="Times New Roman" w:hint="eastAsia"/>
        </w:rPr>
        <w:lastRenderedPageBreak/>
        <w:t>Also, i</w:t>
      </w:r>
      <w:r w:rsidR="00F174F9" w:rsidRPr="00F174F9">
        <w:rPr>
          <w:rFonts w:ascii="Times New Roman" w:hAnsi="Times New Roman" w:cs="Times New Roman"/>
        </w:rPr>
        <w:t xml:space="preserve">f the reviewer can point us to </w:t>
      </w:r>
      <w:proofErr w:type="gramStart"/>
      <w:r w:rsidR="00F174F9" w:rsidRPr="00F174F9">
        <w:rPr>
          <w:rFonts w:ascii="Times New Roman" w:hAnsi="Times New Roman" w:cs="Times New Roman"/>
        </w:rPr>
        <w:t>studies</w:t>
      </w:r>
      <w:proofErr w:type="gramEnd"/>
      <w:r w:rsidR="00F174F9" w:rsidRPr="00F174F9">
        <w:rPr>
          <w:rFonts w:ascii="Times New Roman" w:hAnsi="Times New Roman" w:cs="Times New Roman"/>
        </w:rPr>
        <w:t xml:space="preserve"> demonstrating synergy for this </w:t>
      </w:r>
      <w:proofErr w:type="gramStart"/>
      <w:r w:rsidR="00F174F9" w:rsidRPr="00F174F9">
        <w:rPr>
          <w:rFonts w:ascii="Times New Roman" w:hAnsi="Times New Roman" w:cs="Times New Roman"/>
        </w:rPr>
        <w:t>particular species</w:t>
      </w:r>
      <w:proofErr w:type="gramEnd"/>
      <w:r w:rsidR="00F174F9" w:rsidRPr="00F174F9">
        <w:rPr>
          <w:rFonts w:ascii="Times New Roman" w:hAnsi="Times New Roman" w:cs="Times New Roman"/>
        </w:rPr>
        <w:t xml:space="preserve"> pair, we will gladly incorporate and discuss them.</w:t>
      </w:r>
    </w:p>
    <w:p w14:paraId="41AAF892" w14:textId="2DEEF35B" w:rsidR="001310C0" w:rsidRDefault="001310C0" w:rsidP="004530BD">
      <w:pPr>
        <w:spacing w:line="360" w:lineRule="auto"/>
        <w:jc w:val="both"/>
        <w:rPr>
          <w:rFonts w:ascii="Times New Roman" w:hAnsi="Times New Roman" w:cs="Times New Roman"/>
          <w:b/>
          <w:bCs/>
        </w:rPr>
      </w:pPr>
      <w:r w:rsidRPr="004657F6">
        <w:rPr>
          <w:rFonts w:ascii="Times New Roman" w:hAnsi="Times New Roman" w:cs="Times New Roman"/>
          <w:b/>
          <w:bCs/>
        </w:rPr>
        <w:t>Lines 276-278: Lack of literature.</w:t>
      </w:r>
    </w:p>
    <w:p w14:paraId="66205AAD" w14:textId="0AF6F5E8" w:rsidR="000B67A4" w:rsidRPr="00037F34" w:rsidRDefault="00FB6207" w:rsidP="004530BD">
      <w:pPr>
        <w:pStyle w:val="a6"/>
        <w:numPr>
          <w:ilvl w:val="0"/>
          <w:numId w:val="1"/>
        </w:numPr>
        <w:spacing w:line="360" w:lineRule="auto"/>
        <w:jc w:val="both"/>
        <w:rPr>
          <w:rFonts w:ascii="Times New Roman" w:hAnsi="Times New Roman" w:cs="Times New Roman"/>
        </w:rPr>
      </w:pPr>
      <w:r>
        <w:rPr>
          <w:rFonts w:ascii="Times New Roman" w:hAnsi="Times New Roman" w:cs="Times New Roman" w:hint="eastAsia"/>
        </w:rPr>
        <w:t>We carefully argue that t</w:t>
      </w:r>
      <w:r w:rsidR="00037F34" w:rsidRPr="00037F34">
        <w:rPr>
          <w:rFonts w:ascii="Times New Roman" w:hAnsi="Times New Roman" w:cs="Times New Roman"/>
        </w:rPr>
        <w:t>hese sentences connect directly to the following sentence, which cites evidence that the composition of switchgrass root exudates can vary with neighboring C3 species. We intentionally did not cite that study in the sentence highlighted by the reviewer to avoid potential misinterpretation, as the species used in the referenced work differ from those in our study.</w:t>
      </w:r>
    </w:p>
    <w:p w14:paraId="570ED0DB" w14:textId="77777777" w:rsidR="001310C0" w:rsidRPr="00965455" w:rsidRDefault="001310C0" w:rsidP="004530BD">
      <w:pPr>
        <w:spacing w:line="360" w:lineRule="auto"/>
        <w:jc w:val="both"/>
        <w:rPr>
          <w:rFonts w:ascii="Times New Roman" w:hAnsi="Times New Roman" w:cs="Times New Roman"/>
          <w:b/>
          <w:bCs/>
        </w:rPr>
      </w:pPr>
      <w:r w:rsidRPr="00965455">
        <w:rPr>
          <w:rFonts w:ascii="Times New Roman" w:hAnsi="Times New Roman" w:cs="Times New Roman"/>
          <w:b/>
          <w:bCs/>
        </w:rPr>
        <w:t xml:space="preserve">Is </w:t>
      </w:r>
      <w:proofErr w:type="gramStart"/>
      <w:r w:rsidRPr="00965455">
        <w:rPr>
          <w:rFonts w:ascii="Times New Roman" w:hAnsi="Times New Roman" w:cs="Times New Roman"/>
          <w:b/>
          <w:bCs/>
        </w:rPr>
        <w:t>a Conclusion</w:t>
      </w:r>
      <w:proofErr w:type="gramEnd"/>
      <w:r w:rsidRPr="00965455">
        <w:rPr>
          <w:rFonts w:ascii="Times New Roman" w:hAnsi="Times New Roman" w:cs="Times New Roman"/>
          <w:b/>
          <w:bCs/>
        </w:rPr>
        <w:t> section missing from the manuscript?</w:t>
      </w:r>
    </w:p>
    <w:p w14:paraId="411FDD00" w14:textId="11EAC865" w:rsidR="00FD0C09" w:rsidRPr="00FD0C09" w:rsidRDefault="00B24E2D" w:rsidP="004530BD">
      <w:pPr>
        <w:pStyle w:val="a6"/>
        <w:numPr>
          <w:ilvl w:val="0"/>
          <w:numId w:val="1"/>
        </w:numPr>
        <w:spacing w:line="360" w:lineRule="auto"/>
        <w:jc w:val="both"/>
        <w:rPr>
          <w:rFonts w:ascii="Times New Roman" w:hAnsi="Times New Roman" w:cs="Times New Roman"/>
        </w:rPr>
      </w:pPr>
      <w:r>
        <w:rPr>
          <w:rFonts w:ascii="Times New Roman" w:hAnsi="Times New Roman" w:cs="Times New Roman" w:hint="eastAsia"/>
        </w:rPr>
        <w:t xml:space="preserve">We have provided a conclusion section in the revised </w:t>
      </w:r>
      <w:r>
        <w:rPr>
          <w:rFonts w:ascii="Times New Roman" w:hAnsi="Times New Roman" w:cs="Times New Roman"/>
        </w:rPr>
        <w:t>manuscript</w:t>
      </w:r>
      <w:r w:rsidR="00FD0C09">
        <w:rPr>
          <w:rFonts w:ascii="Times New Roman" w:hAnsi="Times New Roman" w:cs="Times New Roman" w:hint="eastAsia"/>
        </w:rPr>
        <w:t xml:space="preserve"> (Lines </w:t>
      </w:r>
      <w:r w:rsidR="003965CF">
        <w:rPr>
          <w:rFonts w:ascii="Times New Roman" w:hAnsi="Times New Roman" w:cs="Times New Roman" w:hint="eastAsia"/>
        </w:rPr>
        <w:t>3</w:t>
      </w:r>
      <w:r w:rsidR="0004008A">
        <w:rPr>
          <w:rFonts w:ascii="Times New Roman" w:hAnsi="Times New Roman" w:cs="Times New Roman" w:hint="eastAsia"/>
        </w:rPr>
        <w:t>23</w:t>
      </w:r>
      <w:r w:rsidR="00FD0C09">
        <w:rPr>
          <w:rFonts w:ascii="Times New Roman" w:hAnsi="Times New Roman" w:cs="Times New Roman" w:hint="eastAsia"/>
        </w:rPr>
        <w:t>-3</w:t>
      </w:r>
      <w:r w:rsidR="0004008A">
        <w:rPr>
          <w:rFonts w:ascii="Times New Roman" w:hAnsi="Times New Roman" w:cs="Times New Roman" w:hint="eastAsia"/>
        </w:rPr>
        <w:t>32</w:t>
      </w:r>
      <w:r w:rsidR="00FD0C09">
        <w:rPr>
          <w:rFonts w:ascii="Times New Roman" w:hAnsi="Times New Roman" w:cs="Times New Roman" w:hint="eastAsia"/>
        </w:rPr>
        <w:t xml:space="preserve"> in the revised manuscript)</w:t>
      </w:r>
      <w:r>
        <w:rPr>
          <w:rFonts w:ascii="Times New Roman" w:hAnsi="Times New Roman" w:cs="Times New Roman" w:hint="eastAsia"/>
        </w:rPr>
        <w:t>.</w:t>
      </w:r>
    </w:p>
    <w:sectPr w:rsidR="00FD0C09" w:rsidRPr="00FD0C0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356AE" w14:textId="77777777" w:rsidR="007B44EE" w:rsidRDefault="007B44EE" w:rsidP="00DA0CAD">
      <w:pPr>
        <w:spacing w:after="0"/>
      </w:pPr>
      <w:r>
        <w:separator/>
      </w:r>
    </w:p>
  </w:endnote>
  <w:endnote w:type="continuationSeparator" w:id="0">
    <w:p w14:paraId="40EC6EF7" w14:textId="77777777" w:rsidR="007B44EE" w:rsidRDefault="007B44EE" w:rsidP="00DA0C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34643" w14:textId="77777777" w:rsidR="007B44EE" w:rsidRDefault="007B44EE" w:rsidP="00DA0CAD">
      <w:pPr>
        <w:spacing w:after="0"/>
      </w:pPr>
      <w:r>
        <w:separator/>
      </w:r>
    </w:p>
  </w:footnote>
  <w:footnote w:type="continuationSeparator" w:id="0">
    <w:p w14:paraId="391C4A79" w14:textId="77777777" w:rsidR="007B44EE" w:rsidRDefault="007B44EE" w:rsidP="00DA0CA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005FD"/>
    <w:multiLevelType w:val="hybridMultilevel"/>
    <w:tmpl w:val="3E04856A"/>
    <w:lvl w:ilvl="0" w:tplc="4ADAECA6">
      <w:numFmt w:val="bullet"/>
      <w:lvlText w:val=""/>
      <w:lvlJc w:val="left"/>
      <w:pPr>
        <w:ind w:left="800" w:hanging="360"/>
      </w:pPr>
      <w:rPr>
        <w:rFonts w:ascii="Wingdings" w:eastAsiaTheme="minorEastAsia" w:hAnsi="Wingdings"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0E50445A"/>
    <w:multiLevelType w:val="hybridMultilevel"/>
    <w:tmpl w:val="FC84D6AE"/>
    <w:lvl w:ilvl="0" w:tplc="742413CA">
      <w:start w:val="1"/>
      <w:numFmt w:val="decimal"/>
      <w:lvlText w:val="%1."/>
      <w:lvlJc w:val="left"/>
      <w:pPr>
        <w:ind w:left="1440" w:hanging="360"/>
      </w:pPr>
    </w:lvl>
    <w:lvl w:ilvl="1" w:tplc="9020C928">
      <w:start w:val="1"/>
      <w:numFmt w:val="decimal"/>
      <w:lvlText w:val="%2."/>
      <w:lvlJc w:val="left"/>
      <w:pPr>
        <w:ind w:left="1440" w:hanging="360"/>
      </w:pPr>
    </w:lvl>
    <w:lvl w:ilvl="2" w:tplc="75F83E6A">
      <w:start w:val="1"/>
      <w:numFmt w:val="decimal"/>
      <w:lvlText w:val="%3."/>
      <w:lvlJc w:val="left"/>
      <w:pPr>
        <w:ind w:left="1440" w:hanging="360"/>
      </w:pPr>
    </w:lvl>
    <w:lvl w:ilvl="3" w:tplc="C73008C2">
      <w:start w:val="1"/>
      <w:numFmt w:val="decimal"/>
      <w:lvlText w:val="%4."/>
      <w:lvlJc w:val="left"/>
      <w:pPr>
        <w:ind w:left="1440" w:hanging="360"/>
      </w:pPr>
    </w:lvl>
    <w:lvl w:ilvl="4" w:tplc="554C9D6C">
      <w:start w:val="1"/>
      <w:numFmt w:val="decimal"/>
      <w:lvlText w:val="%5."/>
      <w:lvlJc w:val="left"/>
      <w:pPr>
        <w:ind w:left="1440" w:hanging="360"/>
      </w:pPr>
    </w:lvl>
    <w:lvl w:ilvl="5" w:tplc="BD46954A">
      <w:start w:val="1"/>
      <w:numFmt w:val="decimal"/>
      <w:lvlText w:val="%6."/>
      <w:lvlJc w:val="left"/>
      <w:pPr>
        <w:ind w:left="1440" w:hanging="360"/>
      </w:pPr>
    </w:lvl>
    <w:lvl w:ilvl="6" w:tplc="BB08935A">
      <w:start w:val="1"/>
      <w:numFmt w:val="decimal"/>
      <w:lvlText w:val="%7."/>
      <w:lvlJc w:val="left"/>
      <w:pPr>
        <w:ind w:left="1440" w:hanging="360"/>
      </w:pPr>
    </w:lvl>
    <w:lvl w:ilvl="7" w:tplc="84341FDC">
      <w:start w:val="1"/>
      <w:numFmt w:val="decimal"/>
      <w:lvlText w:val="%8."/>
      <w:lvlJc w:val="left"/>
      <w:pPr>
        <w:ind w:left="1440" w:hanging="360"/>
      </w:pPr>
    </w:lvl>
    <w:lvl w:ilvl="8" w:tplc="81B0E266">
      <w:start w:val="1"/>
      <w:numFmt w:val="decimal"/>
      <w:lvlText w:val="%9."/>
      <w:lvlJc w:val="left"/>
      <w:pPr>
        <w:ind w:left="1440" w:hanging="360"/>
      </w:pPr>
    </w:lvl>
  </w:abstractNum>
  <w:abstractNum w:abstractNumId="2" w15:restartNumberingAfterBreak="0">
    <w:nsid w:val="21BD016F"/>
    <w:multiLevelType w:val="hybridMultilevel"/>
    <w:tmpl w:val="EA1E17B2"/>
    <w:lvl w:ilvl="0" w:tplc="51B05FEA">
      <w:start w:val="4"/>
      <w:numFmt w:val="bullet"/>
      <w:lvlText w:val=""/>
      <w:lvlJc w:val="left"/>
      <w:pPr>
        <w:ind w:left="800" w:hanging="360"/>
      </w:pPr>
      <w:rPr>
        <w:rFonts w:ascii="Wingdings" w:eastAsiaTheme="minorEastAsia" w:hAnsi="Wingdings"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24AF13A8"/>
    <w:multiLevelType w:val="hybridMultilevel"/>
    <w:tmpl w:val="9374406C"/>
    <w:lvl w:ilvl="0" w:tplc="DF72A11C">
      <w:start w:val="1"/>
      <w:numFmt w:val="decimal"/>
      <w:lvlText w:val="(%1)"/>
      <w:lvlJc w:val="left"/>
      <w:pPr>
        <w:ind w:left="1440" w:hanging="360"/>
      </w:pPr>
    </w:lvl>
    <w:lvl w:ilvl="1" w:tplc="3F8A0936">
      <w:start w:val="1"/>
      <w:numFmt w:val="decimal"/>
      <w:lvlText w:val="(%2)"/>
      <w:lvlJc w:val="left"/>
      <w:pPr>
        <w:ind w:left="1440" w:hanging="360"/>
      </w:pPr>
    </w:lvl>
    <w:lvl w:ilvl="2" w:tplc="DDCC85B2">
      <w:start w:val="1"/>
      <w:numFmt w:val="decimal"/>
      <w:lvlText w:val="(%3)"/>
      <w:lvlJc w:val="left"/>
      <w:pPr>
        <w:ind w:left="1440" w:hanging="360"/>
      </w:pPr>
    </w:lvl>
    <w:lvl w:ilvl="3" w:tplc="7AEAD642">
      <w:start w:val="1"/>
      <w:numFmt w:val="decimal"/>
      <w:lvlText w:val="(%4)"/>
      <w:lvlJc w:val="left"/>
      <w:pPr>
        <w:ind w:left="1440" w:hanging="360"/>
      </w:pPr>
    </w:lvl>
    <w:lvl w:ilvl="4" w:tplc="2C4E0718">
      <w:start w:val="1"/>
      <w:numFmt w:val="decimal"/>
      <w:lvlText w:val="(%5)"/>
      <w:lvlJc w:val="left"/>
      <w:pPr>
        <w:ind w:left="1440" w:hanging="360"/>
      </w:pPr>
    </w:lvl>
    <w:lvl w:ilvl="5" w:tplc="603088B6">
      <w:start w:val="1"/>
      <w:numFmt w:val="decimal"/>
      <w:lvlText w:val="(%6)"/>
      <w:lvlJc w:val="left"/>
      <w:pPr>
        <w:ind w:left="1440" w:hanging="360"/>
      </w:pPr>
    </w:lvl>
    <w:lvl w:ilvl="6" w:tplc="2452B3F2">
      <w:start w:val="1"/>
      <w:numFmt w:val="decimal"/>
      <w:lvlText w:val="(%7)"/>
      <w:lvlJc w:val="left"/>
      <w:pPr>
        <w:ind w:left="1440" w:hanging="360"/>
      </w:pPr>
    </w:lvl>
    <w:lvl w:ilvl="7" w:tplc="DF008508">
      <w:start w:val="1"/>
      <w:numFmt w:val="decimal"/>
      <w:lvlText w:val="(%8)"/>
      <w:lvlJc w:val="left"/>
      <w:pPr>
        <w:ind w:left="1440" w:hanging="360"/>
      </w:pPr>
    </w:lvl>
    <w:lvl w:ilvl="8" w:tplc="0B065BE2">
      <w:start w:val="1"/>
      <w:numFmt w:val="decimal"/>
      <w:lvlText w:val="(%9)"/>
      <w:lvlJc w:val="left"/>
      <w:pPr>
        <w:ind w:left="1440" w:hanging="360"/>
      </w:pPr>
    </w:lvl>
  </w:abstractNum>
  <w:abstractNum w:abstractNumId="4" w15:restartNumberingAfterBreak="0">
    <w:nsid w:val="2EC87BD0"/>
    <w:multiLevelType w:val="hybridMultilevel"/>
    <w:tmpl w:val="784C5F8C"/>
    <w:lvl w:ilvl="0" w:tplc="D366988A">
      <w:start w:val="1"/>
      <w:numFmt w:val="decimal"/>
      <w:lvlText w:val="%1."/>
      <w:lvlJc w:val="left"/>
      <w:pPr>
        <w:ind w:left="1440" w:hanging="360"/>
      </w:pPr>
    </w:lvl>
    <w:lvl w:ilvl="1" w:tplc="7CDC7E6E">
      <w:start w:val="1"/>
      <w:numFmt w:val="decimal"/>
      <w:lvlText w:val="%2."/>
      <w:lvlJc w:val="left"/>
      <w:pPr>
        <w:ind w:left="1440" w:hanging="360"/>
      </w:pPr>
    </w:lvl>
    <w:lvl w:ilvl="2" w:tplc="DEC6D3C4">
      <w:start w:val="1"/>
      <w:numFmt w:val="decimal"/>
      <w:lvlText w:val="%3."/>
      <w:lvlJc w:val="left"/>
      <w:pPr>
        <w:ind w:left="1440" w:hanging="360"/>
      </w:pPr>
    </w:lvl>
    <w:lvl w:ilvl="3" w:tplc="A5B0BC44">
      <w:start w:val="1"/>
      <w:numFmt w:val="decimal"/>
      <w:lvlText w:val="%4."/>
      <w:lvlJc w:val="left"/>
      <w:pPr>
        <w:ind w:left="1440" w:hanging="360"/>
      </w:pPr>
    </w:lvl>
    <w:lvl w:ilvl="4" w:tplc="0FFCA13E">
      <w:start w:val="1"/>
      <w:numFmt w:val="decimal"/>
      <w:lvlText w:val="%5."/>
      <w:lvlJc w:val="left"/>
      <w:pPr>
        <w:ind w:left="1440" w:hanging="360"/>
      </w:pPr>
    </w:lvl>
    <w:lvl w:ilvl="5" w:tplc="4914EB76">
      <w:start w:val="1"/>
      <w:numFmt w:val="decimal"/>
      <w:lvlText w:val="%6."/>
      <w:lvlJc w:val="left"/>
      <w:pPr>
        <w:ind w:left="1440" w:hanging="360"/>
      </w:pPr>
    </w:lvl>
    <w:lvl w:ilvl="6" w:tplc="98047638">
      <w:start w:val="1"/>
      <w:numFmt w:val="decimal"/>
      <w:lvlText w:val="%7."/>
      <w:lvlJc w:val="left"/>
      <w:pPr>
        <w:ind w:left="1440" w:hanging="360"/>
      </w:pPr>
    </w:lvl>
    <w:lvl w:ilvl="7" w:tplc="BAE2EAD4">
      <w:start w:val="1"/>
      <w:numFmt w:val="decimal"/>
      <w:lvlText w:val="%8."/>
      <w:lvlJc w:val="left"/>
      <w:pPr>
        <w:ind w:left="1440" w:hanging="360"/>
      </w:pPr>
    </w:lvl>
    <w:lvl w:ilvl="8" w:tplc="6324B2C6">
      <w:start w:val="1"/>
      <w:numFmt w:val="decimal"/>
      <w:lvlText w:val="%9."/>
      <w:lvlJc w:val="left"/>
      <w:pPr>
        <w:ind w:left="1440" w:hanging="360"/>
      </w:pPr>
    </w:lvl>
  </w:abstractNum>
  <w:abstractNum w:abstractNumId="5" w15:restartNumberingAfterBreak="0">
    <w:nsid w:val="331E4171"/>
    <w:multiLevelType w:val="hybridMultilevel"/>
    <w:tmpl w:val="0A06CC56"/>
    <w:lvl w:ilvl="0" w:tplc="647AF5E0">
      <w:start w:val="1"/>
      <w:numFmt w:val="decimal"/>
      <w:lvlText w:val="(%1)"/>
      <w:lvlJc w:val="left"/>
      <w:pPr>
        <w:ind w:left="1440" w:hanging="360"/>
      </w:pPr>
    </w:lvl>
    <w:lvl w:ilvl="1" w:tplc="9E107A16">
      <w:start w:val="1"/>
      <w:numFmt w:val="bullet"/>
      <w:lvlText w:val=""/>
      <w:lvlJc w:val="left"/>
      <w:pPr>
        <w:ind w:left="1800" w:hanging="360"/>
      </w:pPr>
      <w:rPr>
        <w:rFonts w:ascii="Symbol" w:hAnsi="Symbol"/>
      </w:rPr>
    </w:lvl>
    <w:lvl w:ilvl="2" w:tplc="6BB8ED0E">
      <w:start w:val="1"/>
      <w:numFmt w:val="decimal"/>
      <w:lvlText w:val="(%3)"/>
      <w:lvlJc w:val="left"/>
      <w:pPr>
        <w:ind w:left="1440" w:hanging="360"/>
      </w:pPr>
    </w:lvl>
    <w:lvl w:ilvl="3" w:tplc="CFA8133A">
      <w:start w:val="1"/>
      <w:numFmt w:val="decimal"/>
      <w:lvlText w:val="(%4)"/>
      <w:lvlJc w:val="left"/>
      <w:pPr>
        <w:ind w:left="1440" w:hanging="360"/>
      </w:pPr>
    </w:lvl>
    <w:lvl w:ilvl="4" w:tplc="0ECC0642">
      <w:start w:val="1"/>
      <w:numFmt w:val="decimal"/>
      <w:lvlText w:val="(%5)"/>
      <w:lvlJc w:val="left"/>
      <w:pPr>
        <w:ind w:left="1440" w:hanging="360"/>
      </w:pPr>
    </w:lvl>
    <w:lvl w:ilvl="5" w:tplc="8D661FD4">
      <w:start w:val="1"/>
      <w:numFmt w:val="decimal"/>
      <w:lvlText w:val="(%6)"/>
      <w:lvlJc w:val="left"/>
      <w:pPr>
        <w:ind w:left="1440" w:hanging="360"/>
      </w:pPr>
    </w:lvl>
    <w:lvl w:ilvl="6" w:tplc="831AE7B4">
      <w:start w:val="1"/>
      <w:numFmt w:val="decimal"/>
      <w:lvlText w:val="(%7)"/>
      <w:lvlJc w:val="left"/>
      <w:pPr>
        <w:ind w:left="1440" w:hanging="360"/>
      </w:pPr>
    </w:lvl>
    <w:lvl w:ilvl="7" w:tplc="97681A64">
      <w:start w:val="1"/>
      <w:numFmt w:val="decimal"/>
      <w:lvlText w:val="(%8)"/>
      <w:lvlJc w:val="left"/>
      <w:pPr>
        <w:ind w:left="1440" w:hanging="360"/>
      </w:pPr>
    </w:lvl>
    <w:lvl w:ilvl="8" w:tplc="D0947C56">
      <w:start w:val="1"/>
      <w:numFmt w:val="decimal"/>
      <w:lvlText w:val="(%9)"/>
      <w:lvlJc w:val="left"/>
      <w:pPr>
        <w:ind w:left="1440" w:hanging="360"/>
      </w:pPr>
    </w:lvl>
  </w:abstractNum>
  <w:abstractNum w:abstractNumId="6" w15:restartNumberingAfterBreak="0">
    <w:nsid w:val="33643AF7"/>
    <w:multiLevelType w:val="hybridMultilevel"/>
    <w:tmpl w:val="B9CC3A24"/>
    <w:lvl w:ilvl="0" w:tplc="D1B24322">
      <w:start w:val="1"/>
      <w:numFmt w:val="decimal"/>
      <w:lvlText w:val="(%1)"/>
      <w:lvlJc w:val="left"/>
      <w:pPr>
        <w:ind w:left="1440" w:hanging="360"/>
      </w:pPr>
    </w:lvl>
    <w:lvl w:ilvl="1" w:tplc="F91A006A">
      <w:start w:val="1"/>
      <w:numFmt w:val="decimal"/>
      <w:lvlText w:val="(%2)"/>
      <w:lvlJc w:val="left"/>
      <w:pPr>
        <w:ind w:left="1440" w:hanging="360"/>
      </w:pPr>
    </w:lvl>
    <w:lvl w:ilvl="2" w:tplc="64848246">
      <w:start w:val="1"/>
      <w:numFmt w:val="decimal"/>
      <w:lvlText w:val="(%3)"/>
      <w:lvlJc w:val="left"/>
      <w:pPr>
        <w:ind w:left="1440" w:hanging="360"/>
      </w:pPr>
    </w:lvl>
    <w:lvl w:ilvl="3" w:tplc="6130D280">
      <w:start w:val="1"/>
      <w:numFmt w:val="decimal"/>
      <w:lvlText w:val="(%4)"/>
      <w:lvlJc w:val="left"/>
      <w:pPr>
        <w:ind w:left="1440" w:hanging="360"/>
      </w:pPr>
    </w:lvl>
    <w:lvl w:ilvl="4" w:tplc="1D6618A6">
      <w:start w:val="1"/>
      <w:numFmt w:val="decimal"/>
      <w:lvlText w:val="(%5)"/>
      <w:lvlJc w:val="left"/>
      <w:pPr>
        <w:ind w:left="1440" w:hanging="360"/>
      </w:pPr>
    </w:lvl>
    <w:lvl w:ilvl="5" w:tplc="EF1A48C8">
      <w:start w:val="1"/>
      <w:numFmt w:val="decimal"/>
      <w:lvlText w:val="(%6)"/>
      <w:lvlJc w:val="left"/>
      <w:pPr>
        <w:ind w:left="1440" w:hanging="360"/>
      </w:pPr>
    </w:lvl>
    <w:lvl w:ilvl="6" w:tplc="6D34BF64">
      <w:start w:val="1"/>
      <w:numFmt w:val="decimal"/>
      <w:lvlText w:val="(%7)"/>
      <w:lvlJc w:val="left"/>
      <w:pPr>
        <w:ind w:left="1440" w:hanging="360"/>
      </w:pPr>
    </w:lvl>
    <w:lvl w:ilvl="7" w:tplc="07802F70">
      <w:start w:val="1"/>
      <w:numFmt w:val="decimal"/>
      <w:lvlText w:val="(%8)"/>
      <w:lvlJc w:val="left"/>
      <w:pPr>
        <w:ind w:left="1440" w:hanging="360"/>
      </w:pPr>
    </w:lvl>
    <w:lvl w:ilvl="8" w:tplc="6B7AC5F2">
      <w:start w:val="1"/>
      <w:numFmt w:val="decimal"/>
      <w:lvlText w:val="(%9)"/>
      <w:lvlJc w:val="left"/>
      <w:pPr>
        <w:ind w:left="1440" w:hanging="360"/>
      </w:pPr>
    </w:lvl>
  </w:abstractNum>
  <w:abstractNum w:abstractNumId="7" w15:restartNumberingAfterBreak="0">
    <w:nsid w:val="40C57E71"/>
    <w:multiLevelType w:val="hybridMultilevel"/>
    <w:tmpl w:val="DA9C3932"/>
    <w:lvl w:ilvl="0" w:tplc="96B04E4A">
      <w:start w:val="3"/>
      <w:numFmt w:val="bullet"/>
      <w:lvlText w:val=""/>
      <w:lvlJc w:val="left"/>
      <w:pPr>
        <w:ind w:left="800" w:hanging="360"/>
      </w:pPr>
      <w:rPr>
        <w:rFonts w:ascii="Wingdings" w:eastAsiaTheme="minorEastAsia" w:hAnsi="Wingdings"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8" w15:restartNumberingAfterBreak="0">
    <w:nsid w:val="4A1D0D22"/>
    <w:multiLevelType w:val="hybridMultilevel"/>
    <w:tmpl w:val="F2BA5FAA"/>
    <w:lvl w:ilvl="0" w:tplc="60F63846">
      <w:start w:val="1"/>
      <w:numFmt w:val="decimal"/>
      <w:lvlText w:val="%1."/>
      <w:lvlJc w:val="left"/>
      <w:pPr>
        <w:ind w:left="1440" w:hanging="360"/>
      </w:pPr>
    </w:lvl>
    <w:lvl w:ilvl="1" w:tplc="2F543360">
      <w:start w:val="1"/>
      <w:numFmt w:val="decimal"/>
      <w:lvlText w:val="%2."/>
      <w:lvlJc w:val="left"/>
      <w:pPr>
        <w:ind w:left="1440" w:hanging="360"/>
      </w:pPr>
    </w:lvl>
    <w:lvl w:ilvl="2" w:tplc="43E4CDB8">
      <w:start w:val="1"/>
      <w:numFmt w:val="decimal"/>
      <w:lvlText w:val="%3."/>
      <w:lvlJc w:val="left"/>
      <w:pPr>
        <w:ind w:left="1440" w:hanging="360"/>
      </w:pPr>
    </w:lvl>
    <w:lvl w:ilvl="3" w:tplc="C60EAD92">
      <w:start w:val="1"/>
      <w:numFmt w:val="decimal"/>
      <w:lvlText w:val="%4."/>
      <w:lvlJc w:val="left"/>
      <w:pPr>
        <w:ind w:left="1440" w:hanging="360"/>
      </w:pPr>
    </w:lvl>
    <w:lvl w:ilvl="4" w:tplc="50564696">
      <w:start w:val="1"/>
      <w:numFmt w:val="decimal"/>
      <w:lvlText w:val="%5."/>
      <w:lvlJc w:val="left"/>
      <w:pPr>
        <w:ind w:left="1440" w:hanging="360"/>
      </w:pPr>
    </w:lvl>
    <w:lvl w:ilvl="5" w:tplc="80607040">
      <w:start w:val="1"/>
      <w:numFmt w:val="decimal"/>
      <w:lvlText w:val="%6."/>
      <w:lvlJc w:val="left"/>
      <w:pPr>
        <w:ind w:left="1440" w:hanging="360"/>
      </w:pPr>
    </w:lvl>
    <w:lvl w:ilvl="6" w:tplc="E45059DC">
      <w:start w:val="1"/>
      <w:numFmt w:val="decimal"/>
      <w:lvlText w:val="%7."/>
      <w:lvlJc w:val="left"/>
      <w:pPr>
        <w:ind w:left="1440" w:hanging="360"/>
      </w:pPr>
    </w:lvl>
    <w:lvl w:ilvl="7" w:tplc="C504B470">
      <w:start w:val="1"/>
      <w:numFmt w:val="decimal"/>
      <w:lvlText w:val="%8."/>
      <w:lvlJc w:val="left"/>
      <w:pPr>
        <w:ind w:left="1440" w:hanging="360"/>
      </w:pPr>
    </w:lvl>
    <w:lvl w:ilvl="8" w:tplc="9BD01F64">
      <w:start w:val="1"/>
      <w:numFmt w:val="decimal"/>
      <w:lvlText w:val="%9."/>
      <w:lvlJc w:val="left"/>
      <w:pPr>
        <w:ind w:left="1440" w:hanging="360"/>
      </w:pPr>
    </w:lvl>
  </w:abstractNum>
  <w:abstractNum w:abstractNumId="9" w15:restartNumberingAfterBreak="0">
    <w:nsid w:val="6C1C3453"/>
    <w:multiLevelType w:val="hybridMultilevel"/>
    <w:tmpl w:val="2F1E2162"/>
    <w:lvl w:ilvl="0" w:tplc="237EDBC2">
      <w:start w:val="1"/>
      <w:numFmt w:val="decimal"/>
      <w:lvlText w:val="%1."/>
      <w:lvlJc w:val="left"/>
      <w:pPr>
        <w:ind w:left="1440" w:hanging="360"/>
      </w:pPr>
    </w:lvl>
    <w:lvl w:ilvl="1" w:tplc="1C264FAA">
      <w:start w:val="1"/>
      <w:numFmt w:val="decimal"/>
      <w:lvlText w:val="%2."/>
      <w:lvlJc w:val="left"/>
      <w:pPr>
        <w:ind w:left="1440" w:hanging="360"/>
      </w:pPr>
    </w:lvl>
    <w:lvl w:ilvl="2" w:tplc="BF86F210">
      <w:start w:val="1"/>
      <w:numFmt w:val="decimal"/>
      <w:lvlText w:val="%3."/>
      <w:lvlJc w:val="left"/>
      <w:pPr>
        <w:ind w:left="1440" w:hanging="360"/>
      </w:pPr>
    </w:lvl>
    <w:lvl w:ilvl="3" w:tplc="DFC4164E">
      <w:start w:val="1"/>
      <w:numFmt w:val="decimal"/>
      <w:lvlText w:val="%4."/>
      <w:lvlJc w:val="left"/>
      <w:pPr>
        <w:ind w:left="1440" w:hanging="360"/>
      </w:pPr>
    </w:lvl>
    <w:lvl w:ilvl="4" w:tplc="2FB6E118">
      <w:start w:val="1"/>
      <w:numFmt w:val="decimal"/>
      <w:lvlText w:val="%5."/>
      <w:lvlJc w:val="left"/>
      <w:pPr>
        <w:ind w:left="1440" w:hanging="360"/>
      </w:pPr>
    </w:lvl>
    <w:lvl w:ilvl="5" w:tplc="F0045054">
      <w:start w:val="1"/>
      <w:numFmt w:val="decimal"/>
      <w:lvlText w:val="%6."/>
      <w:lvlJc w:val="left"/>
      <w:pPr>
        <w:ind w:left="1440" w:hanging="360"/>
      </w:pPr>
    </w:lvl>
    <w:lvl w:ilvl="6" w:tplc="35508B5A">
      <w:start w:val="1"/>
      <w:numFmt w:val="decimal"/>
      <w:lvlText w:val="%7."/>
      <w:lvlJc w:val="left"/>
      <w:pPr>
        <w:ind w:left="1440" w:hanging="360"/>
      </w:pPr>
    </w:lvl>
    <w:lvl w:ilvl="7" w:tplc="877047B6">
      <w:start w:val="1"/>
      <w:numFmt w:val="decimal"/>
      <w:lvlText w:val="%8."/>
      <w:lvlJc w:val="left"/>
      <w:pPr>
        <w:ind w:left="1440" w:hanging="360"/>
      </w:pPr>
    </w:lvl>
    <w:lvl w:ilvl="8" w:tplc="89203B0E">
      <w:start w:val="1"/>
      <w:numFmt w:val="decimal"/>
      <w:lvlText w:val="%9."/>
      <w:lvlJc w:val="left"/>
      <w:pPr>
        <w:ind w:left="1440" w:hanging="360"/>
      </w:pPr>
    </w:lvl>
  </w:abstractNum>
  <w:abstractNum w:abstractNumId="10" w15:restartNumberingAfterBreak="0">
    <w:nsid w:val="6F80644E"/>
    <w:multiLevelType w:val="hybridMultilevel"/>
    <w:tmpl w:val="08E6C6AC"/>
    <w:lvl w:ilvl="0" w:tplc="1848EA5A">
      <w:start w:val="3"/>
      <w:numFmt w:val="bullet"/>
      <w:lvlText w:val=""/>
      <w:lvlJc w:val="left"/>
      <w:pPr>
        <w:ind w:left="800" w:hanging="360"/>
      </w:pPr>
      <w:rPr>
        <w:rFonts w:ascii="Wingdings" w:eastAsiaTheme="minorEastAsia" w:hAnsi="Wingdings"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1" w15:restartNumberingAfterBreak="0">
    <w:nsid w:val="76C230C2"/>
    <w:multiLevelType w:val="hybridMultilevel"/>
    <w:tmpl w:val="7590A842"/>
    <w:lvl w:ilvl="0" w:tplc="72442D4A">
      <w:start w:val="1"/>
      <w:numFmt w:val="decimal"/>
      <w:lvlText w:val="(%1)"/>
      <w:lvlJc w:val="left"/>
      <w:pPr>
        <w:ind w:left="1440" w:hanging="360"/>
      </w:pPr>
    </w:lvl>
    <w:lvl w:ilvl="1" w:tplc="FF76DF9A">
      <w:start w:val="1"/>
      <w:numFmt w:val="decimal"/>
      <w:lvlText w:val="(%2)"/>
      <w:lvlJc w:val="left"/>
      <w:pPr>
        <w:ind w:left="1440" w:hanging="360"/>
      </w:pPr>
    </w:lvl>
    <w:lvl w:ilvl="2" w:tplc="D870F28C">
      <w:start w:val="1"/>
      <w:numFmt w:val="decimal"/>
      <w:lvlText w:val="(%3)"/>
      <w:lvlJc w:val="left"/>
      <w:pPr>
        <w:ind w:left="1440" w:hanging="360"/>
      </w:pPr>
    </w:lvl>
    <w:lvl w:ilvl="3" w:tplc="70EEEBA6">
      <w:start w:val="1"/>
      <w:numFmt w:val="decimal"/>
      <w:lvlText w:val="(%4)"/>
      <w:lvlJc w:val="left"/>
      <w:pPr>
        <w:ind w:left="1440" w:hanging="360"/>
      </w:pPr>
    </w:lvl>
    <w:lvl w:ilvl="4" w:tplc="D25A5472">
      <w:start w:val="1"/>
      <w:numFmt w:val="decimal"/>
      <w:lvlText w:val="(%5)"/>
      <w:lvlJc w:val="left"/>
      <w:pPr>
        <w:ind w:left="1440" w:hanging="360"/>
      </w:pPr>
    </w:lvl>
    <w:lvl w:ilvl="5" w:tplc="23F0F92C">
      <w:start w:val="1"/>
      <w:numFmt w:val="decimal"/>
      <w:lvlText w:val="(%6)"/>
      <w:lvlJc w:val="left"/>
      <w:pPr>
        <w:ind w:left="1440" w:hanging="360"/>
      </w:pPr>
    </w:lvl>
    <w:lvl w:ilvl="6" w:tplc="9C46C108">
      <w:start w:val="1"/>
      <w:numFmt w:val="decimal"/>
      <w:lvlText w:val="(%7)"/>
      <w:lvlJc w:val="left"/>
      <w:pPr>
        <w:ind w:left="1440" w:hanging="360"/>
      </w:pPr>
    </w:lvl>
    <w:lvl w:ilvl="7" w:tplc="EC2E6804">
      <w:start w:val="1"/>
      <w:numFmt w:val="decimal"/>
      <w:lvlText w:val="(%8)"/>
      <w:lvlJc w:val="left"/>
      <w:pPr>
        <w:ind w:left="1440" w:hanging="360"/>
      </w:pPr>
    </w:lvl>
    <w:lvl w:ilvl="8" w:tplc="0350776E">
      <w:start w:val="1"/>
      <w:numFmt w:val="decimal"/>
      <w:lvlText w:val="(%9)"/>
      <w:lvlJc w:val="left"/>
      <w:pPr>
        <w:ind w:left="1440" w:hanging="360"/>
      </w:pPr>
    </w:lvl>
  </w:abstractNum>
  <w:abstractNum w:abstractNumId="12" w15:restartNumberingAfterBreak="0">
    <w:nsid w:val="7C4530EE"/>
    <w:multiLevelType w:val="hybridMultilevel"/>
    <w:tmpl w:val="A888FE0A"/>
    <w:lvl w:ilvl="0" w:tplc="9340AA30">
      <w:start w:val="1"/>
      <w:numFmt w:val="decimal"/>
      <w:lvlText w:val="(%1)"/>
      <w:lvlJc w:val="left"/>
      <w:pPr>
        <w:ind w:left="1440" w:hanging="360"/>
      </w:pPr>
    </w:lvl>
    <w:lvl w:ilvl="1" w:tplc="76F4FF90">
      <w:start w:val="1"/>
      <w:numFmt w:val="decimal"/>
      <w:lvlText w:val="(%2)"/>
      <w:lvlJc w:val="left"/>
      <w:pPr>
        <w:ind w:left="1440" w:hanging="360"/>
      </w:pPr>
    </w:lvl>
    <w:lvl w:ilvl="2" w:tplc="F80C6AE8">
      <w:start w:val="1"/>
      <w:numFmt w:val="decimal"/>
      <w:lvlText w:val="(%3)"/>
      <w:lvlJc w:val="left"/>
      <w:pPr>
        <w:ind w:left="1440" w:hanging="360"/>
      </w:pPr>
    </w:lvl>
    <w:lvl w:ilvl="3" w:tplc="C0C02F08">
      <w:start w:val="1"/>
      <w:numFmt w:val="decimal"/>
      <w:lvlText w:val="(%4)"/>
      <w:lvlJc w:val="left"/>
      <w:pPr>
        <w:ind w:left="1440" w:hanging="360"/>
      </w:pPr>
    </w:lvl>
    <w:lvl w:ilvl="4" w:tplc="95D8F386">
      <w:start w:val="1"/>
      <w:numFmt w:val="decimal"/>
      <w:lvlText w:val="(%5)"/>
      <w:lvlJc w:val="left"/>
      <w:pPr>
        <w:ind w:left="1440" w:hanging="360"/>
      </w:pPr>
    </w:lvl>
    <w:lvl w:ilvl="5" w:tplc="0CBA9E1C">
      <w:start w:val="1"/>
      <w:numFmt w:val="decimal"/>
      <w:lvlText w:val="(%6)"/>
      <w:lvlJc w:val="left"/>
      <w:pPr>
        <w:ind w:left="1440" w:hanging="360"/>
      </w:pPr>
    </w:lvl>
    <w:lvl w:ilvl="6" w:tplc="FE3AA5D2">
      <w:start w:val="1"/>
      <w:numFmt w:val="decimal"/>
      <w:lvlText w:val="(%7)"/>
      <w:lvlJc w:val="left"/>
      <w:pPr>
        <w:ind w:left="1440" w:hanging="360"/>
      </w:pPr>
    </w:lvl>
    <w:lvl w:ilvl="7" w:tplc="E1B4788C">
      <w:start w:val="1"/>
      <w:numFmt w:val="decimal"/>
      <w:lvlText w:val="(%8)"/>
      <w:lvlJc w:val="left"/>
      <w:pPr>
        <w:ind w:left="1440" w:hanging="360"/>
      </w:pPr>
    </w:lvl>
    <w:lvl w:ilvl="8" w:tplc="12EAF044">
      <w:start w:val="1"/>
      <w:numFmt w:val="decimal"/>
      <w:lvlText w:val="(%9)"/>
      <w:lvlJc w:val="left"/>
      <w:pPr>
        <w:ind w:left="1440" w:hanging="360"/>
      </w:pPr>
    </w:lvl>
  </w:abstractNum>
  <w:abstractNum w:abstractNumId="13" w15:restartNumberingAfterBreak="0">
    <w:nsid w:val="7D0A3748"/>
    <w:multiLevelType w:val="hybridMultilevel"/>
    <w:tmpl w:val="2AC89AD0"/>
    <w:lvl w:ilvl="0" w:tplc="8C787B2E">
      <w:start w:val="1"/>
      <w:numFmt w:val="decimal"/>
      <w:lvlText w:val="%1."/>
      <w:lvlJc w:val="left"/>
      <w:pPr>
        <w:ind w:left="1440" w:hanging="360"/>
      </w:pPr>
    </w:lvl>
    <w:lvl w:ilvl="1" w:tplc="FE9652D4">
      <w:start w:val="1"/>
      <w:numFmt w:val="decimal"/>
      <w:lvlText w:val="%2."/>
      <w:lvlJc w:val="left"/>
      <w:pPr>
        <w:ind w:left="1440" w:hanging="360"/>
      </w:pPr>
    </w:lvl>
    <w:lvl w:ilvl="2" w:tplc="E6D63FA6">
      <w:start w:val="1"/>
      <w:numFmt w:val="decimal"/>
      <w:lvlText w:val="%3."/>
      <w:lvlJc w:val="left"/>
      <w:pPr>
        <w:ind w:left="1440" w:hanging="360"/>
      </w:pPr>
    </w:lvl>
    <w:lvl w:ilvl="3" w:tplc="13400142">
      <w:start w:val="1"/>
      <w:numFmt w:val="decimal"/>
      <w:lvlText w:val="%4."/>
      <w:lvlJc w:val="left"/>
      <w:pPr>
        <w:ind w:left="1440" w:hanging="360"/>
      </w:pPr>
    </w:lvl>
    <w:lvl w:ilvl="4" w:tplc="8D58EEC6">
      <w:start w:val="1"/>
      <w:numFmt w:val="decimal"/>
      <w:lvlText w:val="%5."/>
      <w:lvlJc w:val="left"/>
      <w:pPr>
        <w:ind w:left="1440" w:hanging="360"/>
      </w:pPr>
    </w:lvl>
    <w:lvl w:ilvl="5" w:tplc="C9D0A950">
      <w:start w:val="1"/>
      <w:numFmt w:val="decimal"/>
      <w:lvlText w:val="%6."/>
      <w:lvlJc w:val="left"/>
      <w:pPr>
        <w:ind w:left="1440" w:hanging="360"/>
      </w:pPr>
    </w:lvl>
    <w:lvl w:ilvl="6" w:tplc="EBFCDFC0">
      <w:start w:val="1"/>
      <w:numFmt w:val="decimal"/>
      <w:lvlText w:val="%7."/>
      <w:lvlJc w:val="left"/>
      <w:pPr>
        <w:ind w:left="1440" w:hanging="360"/>
      </w:pPr>
    </w:lvl>
    <w:lvl w:ilvl="7" w:tplc="7188D616">
      <w:start w:val="1"/>
      <w:numFmt w:val="decimal"/>
      <w:lvlText w:val="%8."/>
      <w:lvlJc w:val="left"/>
      <w:pPr>
        <w:ind w:left="1440" w:hanging="360"/>
      </w:pPr>
    </w:lvl>
    <w:lvl w:ilvl="8" w:tplc="A89E52B2">
      <w:start w:val="1"/>
      <w:numFmt w:val="decimal"/>
      <w:lvlText w:val="%9."/>
      <w:lvlJc w:val="left"/>
      <w:pPr>
        <w:ind w:left="1440" w:hanging="360"/>
      </w:pPr>
    </w:lvl>
  </w:abstractNum>
  <w:num w:numId="1" w16cid:durableId="1123965078">
    <w:abstractNumId w:val="2"/>
  </w:num>
  <w:num w:numId="2" w16cid:durableId="1886286746">
    <w:abstractNumId w:val="1"/>
  </w:num>
  <w:num w:numId="3" w16cid:durableId="679042994">
    <w:abstractNumId w:val="5"/>
  </w:num>
  <w:num w:numId="4" w16cid:durableId="2141066518">
    <w:abstractNumId w:val="13"/>
  </w:num>
  <w:num w:numId="5" w16cid:durableId="995568346">
    <w:abstractNumId w:val="3"/>
  </w:num>
  <w:num w:numId="6" w16cid:durableId="1198816573">
    <w:abstractNumId w:val="8"/>
  </w:num>
  <w:num w:numId="7" w16cid:durableId="1998802517">
    <w:abstractNumId w:val="12"/>
  </w:num>
  <w:num w:numId="8" w16cid:durableId="1806461293">
    <w:abstractNumId w:val="4"/>
  </w:num>
  <w:num w:numId="9" w16cid:durableId="629940724">
    <w:abstractNumId w:val="6"/>
  </w:num>
  <w:num w:numId="10" w16cid:durableId="1755934588">
    <w:abstractNumId w:val="9"/>
  </w:num>
  <w:num w:numId="11" w16cid:durableId="607664728">
    <w:abstractNumId w:val="11"/>
  </w:num>
  <w:num w:numId="12" w16cid:durableId="1453985266">
    <w:abstractNumId w:val="0"/>
  </w:num>
  <w:num w:numId="13" w16cid:durableId="1463771147">
    <w:abstractNumId w:val="7"/>
  </w:num>
  <w:num w:numId="14" w16cid:durableId="4350574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C0"/>
    <w:rsid w:val="00020A19"/>
    <w:rsid w:val="0002295F"/>
    <w:rsid w:val="00027231"/>
    <w:rsid w:val="00037445"/>
    <w:rsid w:val="00037F34"/>
    <w:rsid w:val="0004008A"/>
    <w:rsid w:val="00041FA0"/>
    <w:rsid w:val="000456B9"/>
    <w:rsid w:val="0004710B"/>
    <w:rsid w:val="00083587"/>
    <w:rsid w:val="00083658"/>
    <w:rsid w:val="00085FFB"/>
    <w:rsid w:val="00086809"/>
    <w:rsid w:val="00087041"/>
    <w:rsid w:val="00091174"/>
    <w:rsid w:val="000B34A3"/>
    <w:rsid w:val="000B67A4"/>
    <w:rsid w:val="000D2AE1"/>
    <w:rsid w:val="000E4C92"/>
    <w:rsid w:val="000F6180"/>
    <w:rsid w:val="001040CE"/>
    <w:rsid w:val="001223DD"/>
    <w:rsid w:val="00125380"/>
    <w:rsid w:val="001310C0"/>
    <w:rsid w:val="001422F4"/>
    <w:rsid w:val="00147606"/>
    <w:rsid w:val="00154D8C"/>
    <w:rsid w:val="00157F7B"/>
    <w:rsid w:val="00175C98"/>
    <w:rsid w:val="00185B3A"/>
    <w:rsid w:val="00192C37"/>
    <w:rsid w:val="001A5B59"/>
    <w:rsid w:val="001B5C85"/>
    <w:rsid w:val="001B6808"/>
    <w:rsid w:val="001B7C02"/>
    <w:rsid w:val="001C0687"/>
    <w:rsid w:val="001C137A"/>
    <w:rsid w:val="001D6470"/>
    <w:rsid w:val="001D6E2E"/>
    <w:rsid w:val="001E3E25"/>
    <w:rsid w:val="001E57E6"/>
    <w:rsid w:val="001F48D3"/>
    <w:rsid w:val="00210A3D"/>
    <w:rsid w:val="002172E0"/>
    <w:rsid w:val="00225DC6"/>
    <w:rsid w:val="0022638D"/>
    <w:rsid w:val="00243565"/>
    <w:rsid w:val="002549AA"/>
    <w:rsid w:val="00254FBF"/>
    <w:rsid w:val="00264018"/>
    <w:rsid w:val="00264966"/>
    <w:rsid w:val="00267F45"/>
    <w:rsid w:val="0027030A"/>
    <w:rsid w:val="002707E8"/>
    <w:rsid w:val="00271460"/>
    <w:rsid w:val="002738A8"/>
    <w:rsid w:val="00284316"/>
    <w:rsid w:val="00294CA9"/>
    <w:rsid w:val="002970DA"/>
    <w:rsid w:val="00297170"/>
    <w:rsid w:val="002A58B0"/>
    <w:rsid w:val="002B6B07"/>
    <w:rsid w:val="002D3B81"/>
    <w:rsid w:val="002E03B2"/>
    <w:rsid w:val="002F35BC"/>
    <w:rsid w:val="00304C38"/>
    <w:rsid w:val="0030682A"/>
    <w:rsid w:val="00311E11"/>
    <w:rsid w:val="003253F0"/>
    <w:rsid w:val="0032562D"/>
    <w:rsid w:val="00334ECF"/>
    <w:rsid w:val="0034690B"/>
    <w:rsid w:val="003473EB"/>
    <w:rsid w:val="00370C35"/>
    <w:rsid w:val="0038006F"/>
    <w:rsid w:val="00387FBA"/>
    <w:rsid w:val="0039161A"/>
    <w:rsid w:val="00395E3A"/>
    <w:rsid w:val="003965CF"/>
    <w:rsid w:val="003B1321"/>
    <w:rsid w:val="003B2582"/>
    <w:rsid w:val="003B53C3"/>
    <w:rsid w:val="003C13BF"/>
    <w:rsid w:val="003D1C02"/>
    <w:rsid w:val="003D5299"/>
    <w:rsid w:val="003D7474"/>
    <w:rsid w:val="003D7713"/>
    <w:rsid w:val="003E5464"/>
    <w:rsid w:val="003F68B2"/>
    <w:rsid w:val="00432408"/>
    <w:rsid w:val="00434FB0"/>
    <w:rsid w:val="004368DE"/>
    <w:rsid w:val="004530BD"/>
    <w:rsid w:val="0045572A"/>
    <w:rsid w:val="004657F6"/>
    <w:rsid w:val="0047326A"/>
    <w:rsid w:val="004739F2"/>
    <w:rsid w:val="00473B94"/>
    <w:rsid w:val="004837C8"/>
    <w:rsid w:val="00486CF4"/>
    <w:rsid w:val="004A0F63"/>
    <w:rsid w:val="004A456C"/>
    <w:rsid w:val="004E03AF"/>
    <w:rsid w:val="004E37A9"/>
    <w:rsid w:val="004E6106"/>
    <w:rsid w:val="004F4F50"/>
    <w:rsid w:val="0050136C"/>
    <w:rsid w:val="00501DB4"/>
    <w:rsid w:val="005041F6"/>
    <w:rsid w:val="005072B7"/>
    <w:rsid w:val="005341F1"/>
    <w:rsid w:val="00542BE9"/>
    <w:rsid w:val="00544989"/>
    <w:rsid w:val="005502B1"/>
    <w:rsid w:val="0055435B"/>
    <w:rsid w:val="00554C6B"/>
    <w:rsid w:val="00556E49"/>
    <w:rsid w:val="00561645"/>
    <w:rsid w:val="00574861"/>
    <w:rsid w:val="00575554"/>
    <w:rsid w:val="00576F7B"/>
    <w:rsid w:val="0058378D"/>
    <w:rsid w:val="00597716"/>
    <w:rsid w:val="005A219F"/>
    <w:rsid w:val="005A2798"/>
    <w:rsid w:val="005B59C3"/>
    <w:rsid w:val="005B7649"/>
    <w:rsid w:val="005C170E"/>
    <w:rsid w:val="005C4174"/>
    <w:rsid w:val="005C5C1B"/>
    <w:rsid w:val="005C612C"/>
    <w:rsid w:val="005C6A1F"/>
    <w:rsid w:val="005D467D"/>
    <w:rsid w:val="005E20AE"/>
    <w:rsid w:val="005F2F0F"/>
    <w:rsid w:val="005F5470"/>
    <w:rsid w:val="006012A6"/>
    <w:rsid w:val="00601978"/>
    <w:rsid w:val="00605574"/>
    <w:rsid w:val="00605D9D"/>
    <w:rsid w:val="0061156C"/>
    <w:rsid w:val="006136CF"/>
    <w:rsid w:val="00636470"/>
    <w:rsid w:val="00636F0D"/>
    <w:rsid w:val="0065703D"/>
    <w:rsid w:val="00672F63"/>
    <w:rsid w:val="0067513F"/>
    <w:rsid w:val="0068307F"/>
    <w:rsid w:val="006A01CF"/>
    <w:rsid w:val="006B23E4"/>
    <w:rsid w:val="006B3E71"/>
    <w:rsid w:val="006C0F52"/>
    <w:rsid w:val="006D69A0"/>
    <w:rsid w:val="006E426D"/>
    <w:rsid w:val="006F085D"/>
    <w:rsid w:val="006F4FE3"/>
    <w:rsid w:val="007054AB"/>
    <w:rsid w:val="0070554C"/>
    <w:rsid w:val="00705B28"/>
    <w:rsid w:val="00715A5B"/>
    <w:rsid w:val="00721F10"/>
    <w:rsid w:val="007230D2"/>
    <w:rsid w:val="00724790"/>
    <w:rsid w:val="00730F5E"/>
    <w:rsid w:val="00743031"/>
    <w:rsid w:val="00747432"/>
    <w:rsid w:val="007525D6"/>
    <w:rsid w:val="007540EC"/>
    <w:rsid w:val="00761C9A"/>
    <w:rsid w:val="007628A5"/>
    <w:rsid w:val="00762C83"/>
    <w:rsid w:val="00763BC7"/>
    <w:rsid w:val="007714C3"/>
    <w:rsid w:val="00777FDD"/>
    <w:rsid w:val="00786FE8"/>
    <w:rsid w:val="007A12C6"/>
    <w:rsid w:val="007A43D4"/>
    <w:rsid w:val="007A6D32"/>
    <w:rsid w:val="007A6E18"/>
    <w:rsid w:val="007B1C3D"/>
    <w:rsid w:val="007B44EE"/>
    <w:rsid w:val="007B732F"/>
    <w:rsid w:val="007C2009"/>
    <w:rsid w:val="007C7ED3"/>
    <w:rsid w:val="007F2745"/>
    <w:rsid w:val="007F44B6"/>
    <w:rsid w:val="007F539D"/>
    <w:rsid w:val="008022F9"/>
    <w:rsid w:val="00803BC7"/>
    <w:rsid w:val="00806859"/>
    <w:rsid w:val="00807C45"/>
    <w:rsid w:val="00821634"/>
    <w:rsid w:val="0083257F"/>
    <w:rsid w:val="00854D8B"/>
    <w:rsid w:val="00857D74"/>
    <w:rsid w:val="008602F7"/>
    <w:rsid w:val="00861DEE"/>
    <w:rsid w:val="00864A4B"/>
    <w:rsid w:val="00865341"/>
    <w:rsid w:val="00866B37"/>
    <w:rsid w:val="00866E2E"/>
    <w:rsid w:val="008674FB"/>
    <w:rsid w:val="008740FA"/>
    <w:rsid w:val="00877DE8"/>
    <w:rsid w:val="008906B5"/>
    <w:rsid w:val="008931D7"/>
    <w:rsid w:val="008A268D"/>
    <w:rsid w:val="008B7D97"/>
    <w:rsid w:val="008C0230"/>
    <w:rsid w:val="008C1B80"/>
    <w:rsid w:val="008D3F1A"/>
    <w:rsid w:val="008F61B9"/>
    <w:rsid w:val="008F7710"/>
    <w:rsid w:val="009031CC"/>
    <w:rsid w:val="009155BB"/>
    <w:rsid w:val="00921522"/>
    <w:rsid w:val="0092360D"/>
    <w:rsid w:val="00925FE4"/>
    <w:rsid w:val="0092739B"/>
    <w:rsid w:val="009479C3"/>
    <w:rsid w:val="00952623"/>
    <w:rsid w:val="0095502C"/>
    <w:rsid w:val="00955773"/>
    <w:rsid w:val="00957022"/>
    <w:rsid w:val="00961CB9"/>
    <w:rsid w:val="00965455"/>
    <w:rsid w:val="0097322B"/>
    <w:rsid w:val="00973949"/>
    <w:rsid w:val="00975DCD"/>
    <w:rsid w:val="00977A31"/>
    <w:rsid w:val="00985374"/>
    <w:rsid w:val="009A381E"/>
    <w:rsid w:val="009A480E"/>
    <w:rsid w:val="009A5C2B"/>
    <w:rsid w:val="009B369E"/>
    <w:rsid w:val="009C443B"/>
    <w:rsid w:val="009C5693"/>
    <w:rsid w:val="009C66EC"/>
    <w:rsid w:val="009E5993"/>
    <w:rsid w:val="009F3A20"/>
    <w:rsid w:val="009F3FFE"/>
    <w:rsid w:val="00A04B21"/>
    <w:rsid w:val="00A1432F"/>
    <w:rsid w:val="00A20CAC"/>
    <w:rsid w:val="00A23CAF"/>
    <w:rsid w:val="00A26457"/>
    <w:rsid w:val="00A36A26"/>
    <w:rsid w:val="00A43251"/>
    <w:rsid w:val="00A444A1"/>
    <w:rsid w:val="00A60232"/>
    <w:rsid w:val="00A60698"/>
    <w:rsid w:val="00A62EBE"/>
    <w:rsid w:val="00A70D1E"/>
    <w:rsid w:val="00A72549"/>
    <w:rsid w:val="00A75688"/>
    <w:rsid w:val="00A76AF2"/>
    <w:rsid w:val="00A8291D"/>
    <w:rsid w:val="00A91F49"/>
    <w:rsid w:val="00AA4E6E"/>
    <w:rsid w:val="00AB76E2"/>
    <w:rsid w:val="00AC1956"/>
    <w:rsid w:val="00AE46CC"/>
    <w:rsid w:val="00B0777F"/>
    <w:rsid w:val="00B107B0"/>
    <w:rsid w:val="00B11BF1"/>
    <w:rsid w:val="00B153F1"/>
    <w:rsid w:val="00B22B6B"/>
    <w:rsid w:val="00B24BDF"/>
    <w:rsid w:val="00B24E2D"/>
    <w:rsid w:val="00B31CD5"/>
    <w:rsid w:val="00B33B7D"/>
    <w:rsid w:val="00B4260B"/>
    <w:rsid w:val="00B51664"/>
    <w:rsid w:val="00B54618"/>
    <w:rsid w:val="00B55BEF"/>
    <w:rsid w:val="00B6722C"/>
    <w:rsid w:val="00B73357"/>
    <w:rsid w:val="00B86D77"/>
    <w:rsid w:val="00B96424"/>
    <w:rsid w:val="00B96690"/>
    <w:rsid w:val="00BA2567"/>
    <w:rsid w:val="00BA7E0F"/>
    <w:rsid w:val="00BB2E9C"/>
    <w:rsid w:val="00BC06A4"/>
    <w:rsid w:val="00BD0419"/>
    <w:rsid w:val="00BD1888"/>
    <w:rsid w:val="00BD3E2E"/>
    <w:rsid w:val="00BE6594"/>
    <w:rsid w:val="00BF1270"/>
    <w:rsid w:val="00BF2670"/>
    <w:rsid w:val="00C11FB5"/>
    <w:rsid w:val="00C21DB3"/>
    <w:rsid w:val="00C21E21"/>
    <w:rsid w:val="00C239A5"/>
    <w:rsid w:val="00C259FC"/>
    <w:rsid w:val="00C26483"/>
    <w:rsid w:val="00C268BD"/>
    <w:rsid w:val="00C44E9B"/>
    <w:rsid w:val="00C52CCD"/>
    <w:rsid w:val="00C63241"/>
    <w:rsid w:val="00C640A7"/>
    <w:rsid w:val="00C66965"/>
    <w:rsid w:val="00C75720"/>
    <w:rsid w:val="00C92DF1"/>
    <w:rsid w:val="00CA3375"/>
    <w:rsid w:val="00CA4AC2"/>
    <w:rsid w:val="00CA53A0"/>
    <w:rsid w:val="00CB2BF6"/>
    <w:rsid w:val="00CD4F2A"/>
    <w:rsid w:val="00CE1553"/>
    <w:rsid w:val="00CE3116"/>
    <w:rsid w:val="00CE672F"/>
    <w:rsid w:val="00CF4339"/>
    <w:rsid w:val="00D01001"/>
    <w:rsid w:val="00D031D4"/>
    <w:rsid w:val="00D06123"/>
    <w:rsid w:val="00D10393"/>
    <w:rsid w:val="00D11E82"/>
    <w:rsid w:val="00D12D09"/>
    <w:rsid w:val="00D20F0D"/>
    <w:rsid w:val="00D3031F"/>
    <w:rsid w:val="00D31D48"/>
    <w:rsid w:val="00D32980"/>
    <w:rsid w:val="00D36D4E"/>
    <w:rsid w:val="00D4624F"/>
    <w:rsid w:val="00D72EC0"/>
    <w:rsid w:val="00D759F5"/>
    <w:rsid w:val="00D75E39"/>
    <w:rsid w:val="00D8214A"/>
    <w:rsid w:val="00D91D1D"/>
    <w:rsid w:val="00D939A9"/>
    <w:rsid w:val="00DA0CAD"/>
    <w:rsid w:val="00DB4CD3"/>
    <w:rsid w:val="00DD3C47"/>
    <w:rsid w:val="00DD68D4"/>
    <w:rsid w:val="00DD762E"/>
    <w:rsid w:val="00DE1050"/>
    <w:rsid w:val="00DE1311"/>
    <w:rsid w:val="00DF0426"/>
    <w:rsid w:val="00DF1BA1"/>
    <w:rsid w:val="00DF5765"/>
    <w:rsid w:val="00E13D62"/>
    <w:rsid w:val="00E25CD6"/>
    <w:rsid w:val="00E30D02"/>
    <w:rsid w:val="00E531B1"/>
    <w:rsid w:val="00E56FE1"/>
    <w:rsid w:val="00E5728F"/>
    <w:rsid w:val="00E71219"/>
    <w:rsid w:val="00E71EDC"/>
    <w:rsid w:val="00E74974"/>
    <w:rsid w:val="00E8110A"/>
    <w:rsid w:val="00E86159"/>
    <w:rsid w:val="00E913AD"/>
    <w:rsid w:val="00E97CC6"/>
    <w:rsid w:val="00EA1B3F"/>
    <w:rsid w:val="00EA37AC"/>
    <w:rsid w:val="00EA5323"/>
    <w:rsid w:val="00EA5E94"/>
    <w:rsid w:val="00EB11D5"/>
    <w:rsid w:val="00EB7996"/>
    <w:rsid w:val="00EC2077"/>
    <w:rsid w:val="00ED1598"/>
    <w:rsid w:val="00ED531B"/>
    <w:rsid w:val="00EF0001"/>
    <w:rsid w:val="00EF5983"/>
    <w:rsid w:val="00F00F8A"/>
    <w:rsid w:val="00F03E06"/>
    <w:rsid w:val="00F14578"/>
    <w:rsid w:val="00F16830"/>
    <w:rsid w:val="00F174F9"/>
    <w:rsid w:val="00F2302B"/>
    <w:rsid w:val="00F23A1A"/>
    <w:rsid w:val="00F30E0F"/>
    <w:rsid w:val="00F32CCA"/>
    <w:rsid w:val="00F33E8D"/>
    <w:rsid w:val="00F34130"/>
    <w:rsid w:val="00F3430A"/>
    <w:rsid w:val="00F4179B"/>
    <w:rsid w:val="00F50643"/>
    <w:rsid w:val="00F76BBD"/>
    <w:rsid w:val="00F82356"/>
    <w:rsid w:val="00FB4373"/>
    <w:rsid w:val="00FB6207"/>
    <w:rsid w:val="00FB771A"/>
    <w:rsid w:val="00FD0C09"/>
    <w:rsid w:val="00FD37AF"/>
    <w:rsid w:val="00FF044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24884"/>
  <w15:chartTrackingRefBased/>
  <w15:docId w15:val="{6AB17ACE-E68C-43B4-8AA4-27173420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1310C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1310C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1310C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1310C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1310C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1310C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1310C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1310C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1310C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1310C0"/>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1310C0"/>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1310C0"/>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1310C0"/>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1310C0"/>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1310C0"/>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1310C0"/>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1310C0"/>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1310C0"/>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1310C0"/>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1310C0"/>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310C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1310C0"/>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1310C0"/>
    <w:pPr>
      <w:spacing w:before="160"/>
      <w:jc w:val="center"/>
    </w:pPr>
    <w:rPr>
      <w:i/>
      <w:iCs/>
      <w:color w:val="404040" w:themeColor="text1" w:themeTint="BF"/>
    </w:rPr>
  </w:style>
  <w:style w:type="character" w:customStyle="1" w:styleId="Char1">
    <w:name w:val="인용 Char"/>
    <w:basedOn w:val="a0"/>
    <w:link w:val="a5"/>
    <w:uiPriority w:val="29"/>
    <w:rsid w:val="001310C0"/>
    <w:rPr>
      <w:i/>
      <w:iCs/>
      <w:color w:val="404040" w:themeColor="text1" w:themeTint="BF"/>
    </w:rPr>
  </w:style>
  <w:style w:type="paragraph" w:styleId="a6">
    <w:name w:val="List Paragraph"/>
    <w:basedOn w:val="a"/>
    <w:uiPriority w:val="34"/>
    <w:qFormat/>
    <w:rsid w:val="001310C0"/>
    <w:pPr>
      <w:ind w:left="720"/>
      <w:contextualSpacing/>
    </w:pPr>
  </w:style>
  <w:style w:type="character" w:styleId="a7">
    <w:name w:val="Intense Emphasis"/>
    <w:basedOn w:val="a0"/>
    <w:uiPriority w:val="21"/>
    <w:qFormat/>
    <w:rsid w:val="001310C0"/>
    <w:rPr>
      <w:i/>
      <w:iCs/>
      <w:color w:val="0F4761" w:themeColor="accent1" w:themeShade="BF"/>
    </w:rPr>
  </w:style>
  <w:style w:type="paragraph" w:styleId="a8">
    <w:name w:val="Intense Quote"/>
    <w:basedOn w:val="a"/>
    <w:next w:val="a"/>
    <w:link w:val="Char2"/>
    <w:uiPriority w:val="30"/>
    <w:qFormat/>
    <w:rsid w:val="001310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1310C0"/>
    <w:rPr>
      <w:i/>
      <w:iCs/>
      <w:color w:val="0F4761" w:themeColor="accent1" w:themeShade="BF"/>
    </w:rPr>
  </w:style>
  <w:style w:type="character" w:styleId="a9">
    <w:name w:val="Intense Reference"/>
    <w:basedOn w:val="a0"/>
    <w:uiPriority w:val="32"/>
    <w:qFormat/>
    <w:rsid w:val="001310C0"/>
    <w:rPr>
      <w:b/>
      <w:bCs/>
      <w:smallCaps/>
      <w:color w:val="0F4761" w:themeColor="accent1" w:themeShade="BF"/>
      <w:spacing w:val="5"/>
    </w:rPr>
  </w:style>
  <w:style w:type="paragraph" w:styleId="aa">
    <w:name w:val="header"/>
    <w:basedOn w:val="a"/>
    <w:link w:val="Char3"/>
    <w:uiPriority w:val="99"/>
    <w:unhideWhenUsed/>
    <w:rsid w:val="00DA0CAD"/>
    <w:pPr>
      <w:tabs>
        <w:tab w:val="center" w:pos="4513"/>
        <w:tab w:val="right" w:pos="9026"/>
      </w:tabs>
      <w:snapToGrid w:val="0"/>
    </w:pPr>
  </w:style>
  <w:style w:type="character" w:customStyle="1" w:styleId="Char3">
    <w:name w:val="머리글 Char"/>
    <w:basedOn w:val="a0"/>
    <w:link w:val="aa"/>
    <w:uiPriority w:val="99"/>
    <w:rsid w:val="00DA0CAD"/>
  </w:style>
  <w:style w:type="paragraph" w:styleId="ab">
    <w:name w:val="footer"/>
    <w:basedOn w:val="a"/>
    <w:link w:val="Char4"/>
    <w:uiPriority w:val="99"/>
    <w:unhideWhenUsed/>
    <w:rsid w:val="00DA0CAD"/>
    <w:pPr>
      <w:tabs>
        <w:tab w:val="center" w:pos="4513"/>
        <w:tab w:val="right" w:pos="9026"/>
      </w:tabs>
      <w:snapToGrid w:val="0"/>
    </w:pPr>
  </w:style>
  <w:style w:type="character" w:customStyle="1" w:styleId="Char4">
    <w:name w:val="바닥글 Char"/>
    <w:basedOn w:val="a0"/>
    <w:link w:val="ab"/>
    <w:uiPriority w:val="99"/>
    <w:rsid w:val="00DA0CAD"/>
  </w:style>
  <w:style w:type="character" w:styleId="ac">
    <w:name w:val="annotation reference"/>
    <w:basedOn w:val="a0"/>
    <w:uiPriority w:val="99"/>
    <w:semiHidden/>
    <w:unhideWhenUsed/>
    <w:rsid w:val="005C6A1F"/>
    <w:rPr>
      <w:sz w:val="18"/>
      <w:szCs w:val="18"/>
    </w:rPr>
  </w:style>
  <w:style w:type="paragraph" w:styleId="ad">
    <w:name w:val="annotation text"/>
    <w:basedOn w:val="a"/>
    <w:link w:val="Char5"/>
    <w:uiPriority w:val="99"/>
    <w:unhideWhenUsed/>
    <w:rsid w:val="005C6A1F"/>
  </w:style>
  <w:style w:type="character" w:customStyle="1" w:styleId="Char5">
    <w:name w:val="메모 텍스트 Char"/>
    <w:basedOn w:val="a0"/>
    <w:link w:val="ad"/>
    <w:uiPriority w:val="99"/>
    <w:rsid w:val="005C6A1F"/>
  </w:style>
  <w:style w:type="paragraph" w:styleId="ae">
    <w:name w:val="annotation subject"/>
    <w:basedOn w:val="ad"/>
    <w:next w:val="ad"/>
    <w:link w:val="Char6"/>
    <w:uiPriority w:val="99"/>
    <w:semiHidden/>
    <w:unhideWhenUsed/>
    <w:rsid w:val="005C6A1F"/>
    <w:rPr>
      <w:b/>
      <w:bCs/>
    </w:rPr>
  </w:style>
  <w:style w:type="character" w:customStyle="1" w:styleId="Char6">
    <w:name w:val="메모 주제 Char"/>
    <w:basedOn w:val="Char5"/>
    <w:link w:val="ae"/>
    <w:uiPriority w:val="99"/>
    <w:semiHidden/>
    <w:rsid w:val="005C6A1F"/>
    <w:rPr>
      <w:b/>
      <w:bCs/>
    </w:rPr>
  </w:style>
  <w:style w:type="character" w:styleId="af">
    <w:name w:val="Hyperlink"/>
    <w:basedOn w:val="a0"/>
    <w:uiPriority w:val="99"/>
    <w:unhideWhenUsed/>
    <w:rsid w:val="005C6A1F"/>
    <w:rPr>
      <w:color w:val="467886" w:themeColor="hyperlink"/>
      <w:u w:val="single"/>
    </w:rPr>
  </w:style>
  <w:style w:type="character" w:styleId="af0">
    <w:name w:val="Unresolved Mention"/>
    <w:basedOn w:val="a0"/>
    <w:uiPriority w:val="99"/>
    <w:semiHidden/>
    <w:unhideWhenUsed/>
    <w:rsid w:val="005C6A1F"/>
    <w:rPr>
      <w:color w:val="605E5C"/>
      <w:shd w:val="clear" w:color="auto" w:fill="E1DFDD"/>
    </w:rPr>
  </w:style>
  <w:style w:type="paragraph" w:styleId="af1">
    <w:name w:val="Revision"/>
    <w:hidden/>
    <w:uiPriority w:val="99"/>
    <w:semiHidden/>
    <w:rsid w:val="005C6A1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9</Pages>
  <Words>2951</Words>
  <Characters>16969</Characters>
  <Application>Microsoft Office Word</Application>
  <DocSecurity>0</DocSecurity>
  <Lines>220</Lines>
  <Paragraphs>72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Kim</dc:creator>
  <cp:keywords/>
  <dc:description/>
  <cp:lastModifiedBy>Alyssa Kim</cp:lastModifiedBy>
  <cp:revision>104</cp:revision>
  <dcterms:created xsi:type="dcterms:W3CDTF">2025-10-01T07:25:00Z</dcterms:created>
  <dcterms:modified xsi:type="dcterms:W3CDTF">2025-10-03T06:42:00Z</dcterms:modified>
</cp:coreProperties>
</file>